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76"/>
        </w:rPr>
        <w:t>VANTORA</w:t>
      </w:r>
    </w:p>
    <w:p>
      <w:pPr>
        <w:jc w:val="center"/>
      </w:pPr>
      <w:r>
        <w:rPr>
          <w:b/>
          <w:color w:val="0BC5DA"/>
          <w:sz w:val="34"/>
        </w:rPr>
        <w:t>FMCG Distribution Enterprise Pack</w:t>
      </w:r>
    </w:p>
    <w:p>
      <w:pPr>
        <w:jc w:val="center"/>
      </w:pPr>
      <w:r>
        <w:rPr>
          <w:b/>
          <w:sz w:val="26"/>
        </w:rPr>
        <w:t>Architecture &amp; Design Document</w:t>
      </w:r>
    </w:p>
    <w:p>
      <w:pPr>
        <w:jc w:val="center"/>
      </w:pPr>
      <w:r>
        <w:rPr>
          <w:sz w:val="20"/>
        </w:rPr>
        <w:t>Distribution-first · Saudi Arabia · Route-to-Market / DMS · Design for implementation review</w:t>
      </w:r>
    </w:p>
    <w:p>
      <w:pPr>
        <w:jc w:val="center"/>
      </w:pPr>
      <w:r>
        <w:rPr>
          <w:i/>
          <w:color w:val="666666"/>
          <w:sz w:val="19"/>
        </w:rPr>
        <w:t>Aligned to Nestlé · PepsiCo · Coca-Cola · Mondelez · Unilever · P&amp;G best practices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rPr>
          <w:sz w:val="21"/>
        </w:rPr>
        <w:t>0. Scope &amp; Reuse</w:t>
      </w:r>
    </w:p>
    <w:p>
      <w:r>
        <w:rPr>
          <w:sz w:val="21"/>
        </w:rPr>
        <w:t>Part II — Enterprise RTM: Distributor Model &amp; DSD</w:t>
      </w:r>
    </w:p>
    <w:p>
      <w:r>
        <w:rPr>
          <w:sz w:val="21"/>
        </w:rPr>
        <w:t>Part II — Executive Dashboards (C-level)</w:t>
      </w:r>
    </w:p>
    <w:p>
      <w:r>
        <w:rPr>
          <w:sz w:val="21"/>
        </w:rPr>
        <w:t>1. Sales Hierarchy (7 roles)</w:t>
      </w:r>
    </w:p>
    <w:p>
      <w:r>
        <w:rPr>
          <w:sz w:val="21"/>
        </w:rPr>
        <w:t>2. Customer Structure</w:t>
      </w:r>
    </w:p>
    <w:p>
      <w:r>
        <w:rPr>
          <w:sz w:val="21"/>
        </w:rPr>
        <w:t>3. Route Execution</w:t>
      </w:r>
    </w:p>
    <w:p>
      <w:r>
        <w:rPr>
          <w:sz w:val="21"/>
        </w:rPr>
        <w:t>4. Perfect Store (RED)</w:t>
      </w:r>
    </w:p>
    <w:p>
      <w:r>
        <w:rPr>
          <w:sz w:val="21"/>
        </w:rPr>
        <w:t>5. Trade Marketing (TPM)</w:t>
      </w:r>
    </w:p>
    <w:p>
      <w:r>
        <w:rPr>
          <w:sz w:val="21"/>
        </w:rPr>
        <w:t>6. Van Sales</w:t>
      </w:r>
    </w:p>
    <w:p>
      <w:r>
        <w:rPr>
          <w:sz w:val="21"/>
        </w:rPr>
        <w:t>7. Distribution KPIs</w:t>
      </w:r>
    </w:p>
    <w:p>
      <w:r>
        <w:rPr>
          <w:sz w:val="21"/>
        </w:rPr>
        <w:t>8. Near-Expiry &amp; Returns</w:t>
      </w:r>
    </w:p>
    <w:p>
      <w:r>
        <w:rPr>
          <w:sz w:val="21"/>
        </w:rPr>
        <w:t>9. Customer Data Governance (KSA)</w:t>
      </w:r>
    </w:p>
    <w:p>
      <w:r>
        <w:rPr>
          <w:sz w:val="21"/>
        </w:rPr>
        <w:t>10. Security &amp; Permissions</w:t>
      </w:r>
    </w:p>
    <w:p>
      <w:r>
        <w:rPr>
          <w:sz w:val="21"/>
        </w:rPr>
        <w:t>11. Database Design</w:t>
      </w:r>
    </w:p>
    <w:p>
      <w:r>
        <w:rPr>
          <w:sz w:val="21"/>
        </w:rPr>
        <w:t>12. Mobile-First Field App</w:t>
      </w:r>
    </w:p>
    <w:p>
      <w:r>
        <w:rPr>
          <w:sz w:val="21"/>
        </w:rPr>
        <w:t>13. Saudi Arabia Localization</w:t>
      </w:r>
    </w:p>
    <w:p>
      <w:r>
        <w:rPr>
          <w:sz w:val="21"/>
        </w:rPr>
        <w:t>14. Enterprise Best-Practice Alignment</w:t>
      </w:r>
    </w:p>
    <w:p>
      <w:r>
        <w:rPr>
          <w:sz w:val="21"/>
        </w:rPr>
        <w:t>15. Governance Compliance</w:t>
      </w:r>
    </w:p>
    <w:p>
      <w:r>
        <w:rPr>
          <w:sz w:val="21"/>
        </w:rPr>
        <w:t>16. Implementation Roadmap</w:t>
      </w:r>
    </w:p>
    <w:p>
      <w:r>
        <w:rPr>
          <w:sz w:val="21"/>
        </w:rPr>
        <w:t>17. Open Decisions &amp; Risks</w:t>
      </w:r>
    </w:p>
    <w:p>
      <w:r>
        <w:rPr>
          <w:sz w:val="21"/>
        </w:rPr>
        <w:t>Appendix — Architecture, ERD &amp; Workflow Diagrams</w:t>
      </w:r>
    </w:p>
    <w:p>
      <w:r>
        <w:br w:type="page"/>
      </w:r>
    </w:p>
    <w:p>
      <w:pPr>
        <w:pStyle w:val="Heading1"/>
      </w:pPr>
      <w:r>
        <w:t>0. Scope &amp; Reuse</w:t>
      </w:r>
    </w:p>
    <w:p>
      <w:r>
        <w:rPr>
          <w:b w:val="0"/>
          <w:i w:val="0"/>
        </w:rPr>
        <w:t>A distribution-first FMCG platform (Route-to-Market / Distributor Management System) delivered as a first-class industry pack on VANTORA — the plan-gated `distribution` module (+ `field_ops` for the mobile field app) over shared sales, inventory, accounting, pricing, CRM, analytics, and workflow. Targeted at Saudi Arabia (Arabic-first, VAT 15%, ZATCA e-invoicing, Commercial Registration, National Address) and aligned to global FMCG best practice.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2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c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2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1 — FMCG pack architecture: pack capabilities over shared VANTORA modules over the platform foundation.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Capability</w:t>
            </w:r>
          </w:p>
        </w:tc>
        <w:tc>
          <w:tcPr>
            <w:tcW w:type="dxa" w:w="1872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In VANTORA today</w:t>
            </w:r>
          </w:p>
        </w:tc>
        <w:tc>
          <w:tcPr>
            <w:tcW w:type="dxa" w:w="4752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This pack adds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Customer master + approval + DFG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channel/sub-channel, classification, GPS, payment terms, frequency, CDG change-requests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Routes / regions / scoped roles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partial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route master + territory + PJP + beat + route riding/accompaniment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Visits / GPS / day-close / settlement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GPS validation, structured outcomes, Perfect-Store capture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Van sales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partial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load sheet, van ledger, mobile sell/return/collect, near/old expiry, reconciled day-close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Merchandising / MSL / Perfect-Store / OOS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dashboards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audit capture: OSA, SOS, planogram, competitor, photos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Trade marketing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NEW: spend, listing fees, displays, promos, claims, ROI/ROTS, activity calendar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Near/old expiry &amp; returns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partial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NEW workflows + claims + warehouse processing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Mobile-first field apps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responsive web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role-specific, field-optimized, offline-capable apps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Saudi localization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bilingual</w:t>
            </w:r>
          </w:p>
        </w:tc>
        <w:tc>
          <w:tcPr>
            <w:tcW w:type="dxa" w:w="4752"/>
          </w:tcPr>
          <w:p>
            <w:r/>
            <w:r>
              <w:rPr>
                <w:sz w:val="16"/>
              </w:rPr>
              <w:t>VAT 15%, ZATCA/Fatoora, CR, VAT no., National Address</w:t>
            </w:r>
          </w:p>
        </w:tc>
      </w:tr>
    </w:tbl>
    <w:p/>
    <w:p>
      <w:r>
        <w:br w:type="page"/>
      </w:r>
    </w:p>
    <w:p>
      <w:pPr>
        <w:pStyle w:val="Heading1"/>
      </w:pPr>
      <w:r>
        <w:t>Part II — Enterprise Route-to-Market: Distributor Model &amp; DSD</w:t>
      </w:r>
    </w:p>
    <w:p>
      <w:r>
        <w:rPr>
          <w:b w:val="0"/>
          <w:i w:val="0"/>
        </w:rPr>
        <w:t>A dual-model RTM platform: the same tenant can run Direct Store Delivery (DSD), the Distributor (indirect) model, or a Hybrid — across multiple brands, principals, and distributors by region — for all field-force types (distributor sales force, company sales force, van sales, merchandisers, Key Accounts).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4173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cg_rt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417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2 — Dual operating model: DSD (direct) and Distributor (indirect), with sell-in (primary) vs sell-out (secondary).</w:t>
      </w:r>
    </w:p>
    <w:p/>
    <w:p>
      <w:r>
        <w:rPr>
          <w:b w:val="0"/>
          <w:i w:val="0"/>
        </w:rPr>
        <w:t>Company mode (role in the value chain): Manufacturer / Brand-Owner (owns brands → direct and/or via distributors), Distributor (represents principals → sells to outlets), or Hybrid (both). Per-region / per-country go-to-market is set independently, so the same company can run direct sales in one region and distributor sales in another: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GTM (per region)</w:t>
            </w:r>
          </w:p>
        </w:tc>
        <w:tc>
          <w:tcPr>
            <w:tcW w:type="dxa" w:w="2448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Chain</w:t>
            </w:r>
          </w:p>
        </w:tc>
        <w:tc>
          <w:tcPr>
            <w:tcW w:type="dxa" w:w="1872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Sell-in (primary)</w:t>
            </w:r>
          </w:p>
        </w:tc>
        <w:tc>
          <w:tcPr>
            <w:tcW w:type="dxa" w:w="1872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Sell-out (secondary)</w:t>
            </w:r>
          </w:p>
        </w:tc>
        <w:tc>
          <w:tcPr>
            <w:tcW w:type="dxa" w:w="1440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Example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4"/>
              </w:rPr>
              <w:t>Direct (DSD)</w:t>
            </w:r>
          </w:p>
        </w:tc>
        <w:tc>
          <w:tcPr>
            <w:tcW w:type="dxa" w:w="2448"/>
          </w:tcPr>
          <w:p>
            <w:r/>
            <w:r>
              <w:rPr>
                <w:sz w:val="14"/>
              </w:rPr>
              <w:t>Company → Outlet</w:t>
            </w:r>
          </w:p>
        </w:tc>
        <w:tc>
          <w:tcPr>
            <w:tcW w:type="dxa" w:w="1872"/>
          </w:tcPr>
          <w:p>
            <w:r/>
            <w:r>
              <w:rPr>
                <w:sz w:val="14"/>
              </w:rPr>
              <w:t>— (direct)</w:t>
            </w:r>
          </w:p>
        </w:tc>
        <w:tc>
          <w:tcPr>
            <w:tcW w:type="dxa" w:w="1872"/>
          </w:tcPr>
          <w:p>
            <w:r/>
            <w:r>
              <w:rPr>
                <w:sz w:val="14"/>
              </w:rPr>
              <w:t>Company → Outlet (the sale)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Riyadh: own van/sales force; Key Accounts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4"/>
              </w:rPr>
              <w:t>Distributor</w:t>
            </w:r>
          </w:p>
        </w:tc>
        <w:tc>
          <w:tcPr>
            <w:tcW w:type="dxa" w:w="2448"/>
          </w:tcPr>
          <w:p>
            <w:r/>
            <w:r>
              <w:rPr>
                <w:sz w:val="14"/>
              </w:rPr>
              <w:t>Principal → Distributor → Outlet</w:t>
            </w:r>
          </w:p>
        </w:tc>
        <w:tc>
          <w:tcPr>
            <w:tcW w:type="dxa" w:w="1872"/>
          </w:tcPr>
          <w:p>
            <w:r/>
            <w:r>
              <w:rPr>
                <w:sz w:val="14"/>
              </w:rPr>
              <w:t>Principal → Distributor</w:t>
            </w:r>
          </w:p>
        </w:tc>
        <w:tc>
          <w:tcPr>
            <w:tcW w:type="dxa" w:w="1872"/>
          </w:tcPr>
          <w:p>
            <w:r/>
            <w:r>
              <w:rPr>
                <w:sz w:val="14"/>
              </w:rPr>
              <w:t>Distributor → Outlet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Eastern Province: appointed distributor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4"/>
              </w:rPr>
              <w:t>Hybrid</w:t>
            </w:r>
          </w:p>
        </w:tc>
        <w:tc>
          <w:tcPr>
            <w:tcW w:type="dxa" w:w="2448"/>
          </w:tcPr>
          <w:p>
            <w:r/>
            <w:r>
              <w:rPr>
                <w:sz w:val="14"/>
              </w:rPr>
              <w:t>both</w:t>
            </w:r>
          </w:p>
        </w:tc>
        <w:tc>
          <w:tcPr>
            <w:tcW w:type="dxa" w:w="1872"/>
          </w:tcPr>
          <w:p>
            <w:r/>
            <w:r>
              <w:rPr>
                <w:sz w:val="14"/>
              </w:rPr>
              <w:t>both</w:t>
            </w:r>
          </w:p>
        </w:tc>
        <w:tc>
          <w:tcPr>
            <w:tcW w:type="dxa" w:w="1872"/>
          </w:tcPr>
          <w:p>
            <w:r/>
            <w:r>
              <w:rPr>
                <w:sz w:val="14"/>
              </w:rPr>
              <w:t>both</w:t>
            </w:r>
          </w:p>
        </w:tc>
        <w:tc>
          <w:tcPr>
            <w:tcW w:type="dxa" w:w="1440"/>
          </w:tcPr>
          <w:p>
            <w:r/>
            <w:r>
              <w:rPr>
                <w:sz w:val="14"/>
              </w:rPr>
              <w:t>Modern Trade direct + Traditional Trade via distributor</w:t>
            </w:r>
          </w:p>
        </w:tc>
      </w:tr>
    </w:tbl>
    <w:p/>
    <w:p>
      <w:r>
        <w:rPr>
          <w:b/>
          <w:i w:val="0"/>
        </w:rPr>
        <w:t>Principals, Brands &amp; Distributors (multi-brand / multi-principal / multi-distributor):</w:t>
      </w:r>
    </w:p>
    <w:p>
      <w:pPr>
        <w:pStyle w:val="ListBullet"/>
      </w:pPr>
      <w:r>
        <w:t>Principal — a brand owner; the tenant may OWN brands (acts as principal) and/or REPRESENT principals (acts as distributor) → multi-principal.</w:t>
      </w:r>
    </w:p>
    <w:p>
      <w:pPr>
        <w:pStyle w:val="ListBullet"/>
      </w:pPr>
      <w:r>
        <w:t>Brand — belongs to a principal; products map brand → principal → multi-brand. All sales/targets/spend/KPIs slice by brand &amp; principal.</w:t>
      </w:r>
    </w:p>
    <w:p>
      <w:pPr>
        <w:pStyle w:val="ListBullet"/>
      </w:pPr>
      <w:r>
        <w:t>Distributor — a partner with contract, credit, assigned territories/regions/channels, price list, optional linked tenant; multiple distributors by region with exclusivity rules.</w:t>
      </w:r>
    </w:p>
    <w:p>
      <w:r>
        <w:rPr>
          <w:b/>
          <w:i w:val="0"/>
        </w:rPr>
        <w:t>Sell-in vs Sell-out &amp; Secondary Sales (core measurement):</w:t>
      </w:r>
    </w:p>
    <w:p>
      <w:pPr>
        <w:pStyle w:val="ListBullet"/>
      </w:pPr>
      <w:r>
        <w:t>Sell-in (primary): Principal → Distributor — depletion into channel; basis for distributor targets, rebates, trade-spend funding.</w:t>
      </w:r>
    </w:p>
    <w:p>
      <w:pPr>
        <w:pStyle w:val="ListBullet"/>
      </w:pPr>
      <w:r>
        <w:t>Sell-out (secondary): Distributor → Outlet — true market demand; basis for ND/WD, coverage, availability, SOS, Perfect Store.</w:t>
      </w:r>
    </w:p>
    <w:p>
      <w:pPr>
        <w:pStyle w:val="ListBullet"/>
      </w:pPr>
      <w:r>
        <w:t>Stock-in-trade = Σ sell-in − Σ sell-out per distributor/SKU → prevents channel loading; feeds forecasting.</w:t>
      </w:r>
    </w:p>
    <w:p>
      <w:pPr>
        <w:pStyle w:val="ListBullet"/>
      </w:pPr>
      <w:r>
        <w:t>Secondary capture: (a) distributor runs the same pack; (b) secondary-sales ingestion (governed data-share); (c) principal’s own merchandisers capture availability/SOS.</w:t>
      </w:r>
    </w:p>
    <w:p>
      <w:r>
        <w:rPr>
          <w:b/>
          <w:i w:val="0"/>
        </w:rPr>
        <w:t>Distributor management, targets, rebates &amp; trade spend:</w:t>
      </w:r>
    </w:p>
    <w:p>
      <w:pPr>
        <w:pStyle w:val="ListBullet"/>
      </w:pPr>
      <w:r>
        <w:t>Distributor management — onboarding, contracts, price lists, credit, performance scorecards, status (audited).</w:t>
      </w:r>
    </w:p>
    <w:p>
      <w:pPr>
        <w:pStyle w:val="ListBullet"/>
      </w:pPr>
      <w:r>
        <w:t>Distributor targets — primary (sell-in) &amp; secondary (sell-out) per distributor × brand × SKU × period; cascaded; rolled up.</w:t>
      </w:r>
    </w:p>
    <w:p>
      <w:pPr>
        <w:pStyle w:val="ListBullet"/>
      </w:pPr>
      <w:r>
        <w:t>Rebate programs — volume / value / growth / mix / slab / display-linked; accrued on qualifying sales; approval + credit-note settlement; audited.</w:t>
      </w:r>
    </w:p>
    <w:p>
      <w:pPr>
        <w:pStyle w:val="ListBullet"/>
      </w:pPr>
      <w:r>
        <w:t>Trade spend allocated &amp; tracked per distributor (and brand/channel/principal); ROI/ROTS by distributor.</w:t>
      </w:r>
    </w:p>
    <w:p>
      <w:pPr>
        <w:pStyle w:val="ListBullet"/>
      </w:pPr>
      <w:r>
        <w:t>Key Account Management (KAM) — Modern Trade / national chains managed direct (banner→chain→store, JBP, listing, planograms), parallel to distributors for Traditional Trade.</w:t>
      </w:r>
    </w:p>
    <w:p>
      <w:r>
        <w:rPr>
          <w:b/>
          <w:i w:val="0"/>
        </w:rPr>
        <w:t>Multi-tenant linkage &amp; isolation:</w:t>
      </w:r>
    </w:p>
    <w:p>
      <w:pPr>
        <w:pStyle w:val="ListBullet"/>
      </w:pPr>
      <w:r>
        <w:t>Single-tenant — one company runs DSD and/or models distributors as partner entities + ingested secondary data; all rows scoped by company_id (standard RLS).</w:t>
      </w:r>
    </w:p>
    <w:p>
      <w:pPr>
        <w:pStyle w:val="ListBullet"/>
      </w:pPr>
      <w:r>
        <w:t>Connected tenants (enterprise) — principal and distributor are separate VANTORA tenants linked by a consented, scoped, audited data-share over the integrations/sync layer. No cross-tenant RLS is opened; full tenant isolation preserved.</w:t>
      </w:r>
    </w:p>
    <w:p>
      <w:r>
        <w:rPr>
          <w:b/>
          <w:i w:val="0"/>
        </w:rPr>
        <w:t>Distributor inventory, coverage, scorecards &amp; profitability:</w:t>
      </w:r>
    </w:p>
    <w:p>
      <w:pPr>
        <w:pStyle w:val="ListBullet"/>
      </w:pPr>
      <w:r>
        <w:t>Distributor inventory — stock-on-hand per distributor/SKU → days-of-cover, OOS, stock-in-trade.</w:t>
      </w:r>
    </w:p>
    <w:p>
      <w:pPr>
        <w:pStyle w:val="ListBullet"/>
      </w:pPr>
      <w:r>
        <w:t>Distributor coverage — outlets covered ÷ universe in territory; productive coverage.</w:t>
      </w:r>
    </w:p>
    <w:p>
      <w:pPr>
        <w:pStyle w:val="ListBullet"/>
      </w:pPr>
      <w:r>
        <w:t>Distributor scorecard — periodic composite (sell-in vs sell-out, coverage, ND/WD, target %, OTIF/fill-rate, claim &amp; rebate status, Perfect-Store, receivables ageing) → ranked league table.</w:t>
      </w:r>
    </w:p>
    <w:p>
      <w:pPr>
        <w:pStyle w:val="ListBullet"/>
      </w:pPr>
      <w:r>
        <w:t>Distributor profitability — gross-to-net: revenue (sell-in) − COGS − trade spend − rebates − logistics → margin &amp; ROI by distributor/brand/region.</w:t>
      </w:r>
    </w:p>
    <w:p>
      <w:r>
        <w:rPr>
          <w:b/>
          <w:i w:val="0"/>
        </w:rPr>
        <w:t>Strategic planning — JBP, agreements, budgets, growth &amp; market share:</w:t>
      </w:r>
    </w:p>
    <w:p>
      <w:pPr>
        <w:pStyle w:val="ListBullet"/>
      </w:pPr>
      <w:r>
        <w:t>Annual Joint Business Plans (JBP) — per distributor/key account: volume &amp; value targets, growth, trade-spend envelope, activity calendar, agreed KPIs; reviewed quarterly.</w:t>
      </w:r>
    </w:p>
    <w:p>
      <w:pPr>
        <w:pStyle w:val="ListBullet"/>
      </w:pPr>
      <w:r>
        <w:t>Distributor agreements — terms, exclusivity, margins, payment terms, SLAs, period.</w:t>
      </w:r>
    </w:p>
    <w:p>
      <w:pPr>
        <w:pStyle w:val="ListBullet"/>
      </w:pPr>
      <w:r>
        <w:t>Trade-spend budgets — annual by brand/channel/distributor/region, phased to the activity calendar; commitments vs actuals; ROI/ROTS.</w:t>
      </w:r>
    </w:p>
    <w:p>
      <w:pPr>
        <w:pStyle w:val="ListBullet"/>
      </w:pPr>
      <w:r>
        <w:t>Growth targets — YoY by brand/region/distributor. Market-share tracking — share % &amp; trend (panel import or estimated from ND/WD &amp; SOS).</w:t>
      </w:r>
    </w:p>
    <w:p>
      <w:pPr>
        <w:pStyle w:val="ListBullet"/>
      </w:pPr>
      <w:r>
        <w:t>Regional performance — consolidated region/country P&amp;L, coverage, growth, share, target attainment.</w:t>
      </w:r>
    </w:p>
    <w:p>
      <w:r>
        <w:rPr>
          <w:b w:val="0"/>
          <w:i/>
        </w:rPr>
        <w:t>KPIs roll up: outlet (secondary) → distributor → territory → channel → brand → principal → national, with sell-in vs sell-out reconciliation.</w:t>
      </w:r>
    </w:p>
    <w:p>
      <w:pPr>
        <w:pStyle w:val="Heading1"/>
      </w:pPr>
      <w:r>
        <w:t>Part II — Executive Dashboards (C-level)</w:t>
      </w:r>
    </w:p>
    <w:p>
      <w:r>
        <w:rPr>
          <w:b w:val="0"/>
          <w:i w:val="0"/>
        </w:rPr>
        <w:t>Role-scoped, read-only strategic dashboards over the rollups — no live heavy scans; drill-down respects role scope. Built for enterprise FMCG operating across multiple regions and countries (region → country → area → territory → route; per-region mode &amp; GTM; per-country localization; currency-normalized group consolidation).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09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cg_execdas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09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3 — C-level executive dashboards fed by the distribution rollup layer.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Persona</w:t>
            </w:r>
          </w:p>
        </w:tc>
        <w:tc>
          <w:tcPr>
            <w:tcW w:type="dxa" w:w="6624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Focus KPIs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CEO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Revenue &amp; growth (vs target/LY), market share &amp; trend, gross-to-net margin, region/country performance, top risks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Commercial Director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Sell-in vs sell-out, distributor scorecards &amp; profitability, JBP attainment, channel &amp; brand mix, receivables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Sales Director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Coverage, ND/WD, strike rate, productivity, target attainment by region/area/rep, Perfect-Store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Trade Marketing Director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Trade-spend vs budget, ROI/ROTS, promotion &amp; display effectiveness, listing, claims, activity calendar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6"/>
              </w:rPr>
              <w:t>Supply Chain Director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Fill-rate / OTIF, distributor inventory &amp; days-of-cover, stock-in-trade, near/old expiry &amp; write-offs, forecast vs actual</w:t>
            </w:r>
          </w:p>
        </w:tc>
      </w:tr>
    </w:tbl>
    <w:p/>
    <w:p>
      <w:pPr>
        <w:pStyle w:val="Heading1"/>
      </w:pPr>
      <w:r>
        <w:t>1. Sales Hierarchy (7 roles)</w:t>
      </w:r>
    </w:p>
    <w:p>
      <w:r>
        <w:rPr>
          <w:b w:val="0"/>
          <w:i w:val="0"/>
        </w:rPr>
        <w:t>Reuses VANTORA roles + per-branch reporting lines and region/area/route scope. Targets cascade down; achievement and approvals roll up. Scope determines data visibility and approval authority.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90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cg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4 — FMCG sales hierarchy: scope &amp; approval authority.</w:t>
      </w:r>
    </w:p>
    <w:p/>
    <w:p>
      <w:pPr>
        <w:pStyle w:val="Heading1"/>
      </w:pPr>
      <w:r>
        <w:t>2. Customer Structure</w:t>
      </w:r>
    </w:p>
    <w:p>
      <w:r>
        <w:rPr>
          <w:b w:val="0"/>
          <w:i w:val="0"/>
        </w:rPr>
        <w:t>Extends erp_customers via a 1–1 FMCG profile.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Attribute</w:t>
            </w:r>
          </w:p>
        </w:tc>
        <w:tc>
          <w:tcPr>
            <w:tcW w:type="dxa" w:w="6912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Channel / Sub-channel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Traditional Trade (grocery/kiosk/wholesaler), Modern Trade (hyper/super/mini), HoReCa, Pharmacy, B2B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Territory / Route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region → area → territory → route (beat)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Classification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outlet grade A/B/C/D, size band, Perfect-Store tier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GPS location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validated lat-long + geofence radius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Credit limit / Payment terms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credit limit + balance + hold; cash / on-account; terms (days)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Visit frequency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F1/F2/F4 + preferred day(s) → PJP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KSA compliance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CR number, VAT no. (15-digit), National Address</w:t>
            </w:r>
          </w:p>
        </w:tc>
      </w:tr>
    </w:tbl>
    <w:p/>
    <w:p>
      <w:pPr>
        <w:pStyle w:val="Heading1"/>
      </w:pPr>
      <w:r>
        <w:t>3. Route Execution</w:t>
      </w:r>
    </w:p>
    <w:p>
      <w:pPr>
        <w:pStyle w:val="ListBullet"/>
      </w:pPr>
      <w:r>
        <w:t>Permanent Journey Plan (PJP): scheduled outlet/date list per rep from route + frequency.</w:t>
      </w:r>
    </w:p>
    <w:p>
      <w:pPr>
        <w:pStyle w:val="ListBullet"/>
      </w:pPr>
      <w:r>
        <w:t>Beat plan: the day’s ordered outlets with time windows.</w:t>
      </w:r>
    </w:p>
    <w:p>
      <w:pPr>
        <w:pStyle w:val="ListBullet"/>
      </w:pPr>
      <w:r>
        <w:t>Route compliance: on-route vs off-route (off-route needs approval).</w:t>
      </w:r>
    </w:p>
    <w:p>
      <w:pPr>
        <w:pStyle w:val="ListBullet"/>
      </w:pPr>
      <w:r>
        <w:t>Coverage = visited ÷ planned outlets; Strike rate = productive ÷ total visits; Call productivity = drop size, lines/SKUs per call.</w:t>
      </w:r>
    </w:p>
    <w:p>
      <w:pPr>
        <w:pStyle w:val="ListBullet"/>
      </w:pPr>
      <w:r>
        <w:t>Route riding &amp; supervisor accompaniment: structured field-coaching evaluation during a ride-along.</w:t>
      </w:r>
    </w:p>
    <w:p>
      <w:pPr>
        <w:pStyle w:val="Heading1"/>
      </w:pPr>
      <w:r>
        <w:t>4. Perfect Store (RED / Picture of Success)</w:t>
      </w:r>
    </w:p>
    <w:p>
      <w:pPr>
        <w:pStyle w:val="ListBullet"/>
      </w:pPr>
      <w:r>
        <w:t>MSL compliance — audit vs each outlet’s Must-Stock List.</w:t>
      </w:r>
    </w:p>
    <w:p>
      <w:pPr>
        <w:pStyle w:val="ListBullet"/>
      </w:pPr>
      <w:r>
        <w:t>OSA (On-Shelf Availability) → OOS list.</w:t>
      </w:r>
    </w:p>
    <w:p>
      <w:pPr>
        <w:pStyle w:val="ListBullet"/>
      </w:pPr>
      <w:r>
        <w:t>Shelf Share (SOS) — our facings ÷ category facings.</w:t>
      </w:r>
    </w:p>
    <w:p>
      <w:pPr>
        <w:pStyle w:val="ListBullet"/>
      </w:pPr>
      <w:r>
        <w:t>Display compliance — contracted displays present &amp; correct (photo-backed).</w:t>
      </w:r>
    </w:p>
    <w:p>
      <w:pPr>
        <w:pStyle w:val="ListBullet"/>
      </w:pPr>
      <w:r>
        <w:t>Planogram compliance — shelf layout vs planogram.</w:t>
      </w:r>
    </w:p>
    <w:p>
      <w:pPr>
        <w:pStyle w:val="ListBullet"/>
      </w:pPr>
      <w:r>
        <w:t>Competitor visibility — SKU/price/promo/share-of-shelf.</w:t>
      </w:r>
    </w:p>
    <w:p>
      <w:pPr>
        <w:pStyle w:val="ListBullet"/>
      </w:pPr>
      <w:r>
        <w:t>Photo evidence — before/after shelf photos (object storage).</w:t>
      </w:r>
    </w:p>
    <w:p>
      <w:pPr>
        <w:pStyle w:val="ListBullet"/>
      </w:pPr>
      <w:r>
        <w:t>Perfect-Store score — weighted availability + facings + planogram + display + price.</w:t>
      </w:r>
    </w:p>
    <w:p>
      <w:pPr>
        <w:pStyle w:val="Heading1"/>
      </w:pPr>
      <w:r>
        <w:t>5. Trade Marketing (TPM)</w:t>
      </w:r>
    </w:p>
    <w:p>
      <w:pPr>
        <w:pStyle w:val="ListBullet"/>
      </w:pPr>
      <w:r>
        <w:t>Trade spend &amp; budget by customer/channel/promo (commitments + actuals).</w:t>
      </w:r>
    </w:p>
    <w:p>
      <w:pPr>
        <w:pStyle w:val="ListBullet"/>
      </w:pPr>
      <w:r>
        <w:t>Listing fees — per-SKU per-outlet/chain listing payments (Modern Trade).</w:t>
      </w:r>
    </w:p>
    <w:p>
      <w:pPr>
        <w:pStyle w:val="ListBullet"/>
      </w:pPr>
      <w:r>
        <w:t>Displays — types/contracts per outlet + compliance.</w:t>
      </w:r>
    </w:p>
    <w:p>
      <w:pPr>
        <w:pStyle w:val="ListBullet"/>
      </w:pPr>
      <w:r>
        <w:t>Promotions — price-off / BOGO / bundle / slab + eligibility + budget → pricing engine at sale.</w:t>
      </w:r>
    </w:p>
    <w:p>
      <w:pPr>
        <w:pStyle w:val="ListBullet"/>
      </w:pPr>
      <w:r>
        <w:t>Activity calendar — time-phased plan of promos/displays/listings.</w:t>
      </w:r>
    </w:p>
    <w:p>
      <w:pPr>
        <w:pStyle w:val="ListBullet"/>
      </w:pPr>
      <w:r>
        <w:t>Claims — submit (evidence) → validate → tiered approve → settle (credit note) → audited.</w:t>
      </w:r>
    </w:p>
    <w:p>
      <w:pPr>
        <w:pStyle w:val="ListBullet"/>
      </w:pPr>
      <w:r>
        <w:t>ROI / ROTS (Return on Trade Spend) — incremental value vs spend per promo/display/listing.</w:t>
      </w:r>
    </w:p>
    <w:p>
      <w:pPr>
        <w:pStyle w:val="Heading1"/>
      </w:pPr>
      <w:r>
        <w:t>6. Van Sales</w:t>
      </w:r>
    </w:p>
    <w:p>
      <w:pPr>
        <w:pStyle w:val="ListBullet"/>
      </w:pPr>
      <w:r>
        <w:t>Van inventory — van warehouse (is_van) stock ledger.</w:t>
      </w:r>
    </w:p>
    <w:p>
      <w:pPr>
        <w:pStyle w:val="ListBullet"/>
      </w:pPr>
      <w:r>
        <w:t>Load sheet — stock issued to the van for a beat day (draft→loaded→reconciled).</w:t>
      </w:r>
    </w:p>
    <w:p>
      <w:pPr>
        <w:pStyle w:val="ListBullet"/>
      </w:pPr>
      <w:r>
        <w:t>Sales — mobile cash/credit invoices vs van stock, priced incl. promotions, ZATCA-compliant.</w:t>
      </w:r>
    </w:p>
    <w:p>
      <w:pPr>
        <w:pStyle w:val="ListBullet"/>
      </w:pPr>
      <w:r>
        <w:t>Collections — on-account vs customer balance + cash session.</w:t>
      </w:r>
    </w:p>
    <w:p>
      <w:pPr>
        <w:pStyle w:val="ListBullet"/>
      </w:pPr>
      <w:r>
        <w:t>Returns — good (restock) vs damaged vs near/old expiry (segregate → claims).</w:t>
      </w:r>
    </w:p>
    <w:p>
      <w:pPr>
        <w:pStyle w:val="ListBullet"/>
      </w:pPr>
      <w:r>
        <w:t>Day close — reconcile van (load ± sales/returns = closing) + cash; variance → supervisor approval.</w:t>
      </w:r>
    </w:p>
    <w:p>
      <w:pPr>
        <w:pStyle w:val="Heading1"/>
      </w:pPr>
      <w:r>
        <w:t>7. Distribution KPIs</w:t>
      </w:r>
    </w:p>
    <w:p>
      <w:r>
        <w:rPr>
          <w:b w:val="0"/>
          <w:i w:val="0"/>
        </w:rPr>
        <w:t>Pre-aggregated rollups (no live cross-tenant scans).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024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336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Definition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Numeric Distribution (ND)</w:t>
            </w:r>
          </w:p>
        </w:tc>
        <w:tc>
          <w:tcPr>
            <w:tcW w:type="dxa" w:w="6336"/>
          </w:tcPr>
          <w:p>
            <w:r/>
            <w:r>
              <w:rPr>
                <w:sz w:val="16"/>
              </w:rPr>
              <w:t>outlets stocking SKU ÷ total outlets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Weighted Distribution (WD)</w:t>
            </w:r>
          </w:p>
        </w:tc>
        <w:tc>
          <w:tcPr>
            <w:tcW w:type="dxa" w:w="6336"/>
          </w:tcPr>
          <w:p>
            <w:r/>
            <w:r>
              <w:rPr>
                <w:sz w:val="16"/>
              </w:rPr>
              <w:t>ND weighted by outlet sales importance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Coverage</w:t>
            </w:r>
          </w:p>
        </w:tc>
        <w:tc>
          <w:tcPr>
            <w:tcW w:type="dxa" w:w="6336"/>
          </w:tcPr>
          <w:p>
            <w:r/>
            <w:r>
              <w:rPr>
                <w:sz w:val="16"/>
              </w:rPr>
              <w:t>visited ÷ planned outlets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Productivity / Strike rate</w:t>
            </w:r>
          </w:p>
        </w:tc>
        <w:tc>
          <w:tcPr>
            <w:tcW w:type="dxa" w:w="6336"/>
          </w:tcPr>
          <w:p>
            <w:r/>
            <w:r>
              <w:rPr>
                <w:sz w:val="16"/>
              </w:rPr>
              <w:t>productive visits ÷ total visits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SKU per outlet</w:t>
            </w:r>
          </w:p>
        </w:tc>
        <w:tc>
          <w:tcPr>
            <w:tcW w:type="dxa" w:w="6336"/>
          </w:tcPr>
          <w:p>
            <w:r/>
            <w:r>
              <w:rPr>
                <w:sz w:val="16"/>
              </w:rPr>
              <w:t>avg distinct SKUs per productive call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Average invoice (drop size)</w:t>
            </w:r>
          </w:p>
        </w:tc>
        <w:tc>
          <w:tcPr>
            <w:tcW w:type="dxa" w:w="6336"/>
          </w:tcPr>
          <w:p>
            <w:r/>
            <w:r>
              <w:rPr>
                <w:sz w:val="16"/>
              </w:rPr>
              <w:t>avg invoice value per productive call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MSL compliance / OSA / OOS</w:t>
            </w:r>
          </w:p>
        </w:tc>
        <w:tc>
          <w:tcPr>
            <w:tcW w:type="dxa" w:w="6336"/>
          </w:tcPr>
          <w:p>
            <w:r/>
            <w:r>
              <w:rPr>
                <w:sz w:val="16"/>
              </w:rPr>
              <w:t>must-stock adherence; on-shelf availability; out-of-stock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6"/>
              </w:rPr>
              <w:t>Perfect-Store score</w:t>
            </w:r>
          </w:p>
        </w:tc>
        <w:tc>
          <w:tcPr>
            <w:tcW w:type="dxa" w:w="6336"/>
          </w:tcPr>
          <w:p>
            <w:r/>
            <w:r>
              <w:rPr>
                <w:sz w:val="16"/>
              </w:rPr>
              <w:t>weighted RED score</w:t>
            </w:r>
          </w:p>
        </w:tc>
      </w:tr>
    </w:tbl>
    <w:p/>
    <w:p>
      <w:pPr>
        <w:pStyle w:val="Heading1"/>
      </w:pPr>
      <w:r>
        <w:t>8. Near-Expiry &amp; Returns (two workflows)</w:t>
      </w:r>
    </w:p>
    <w:p>
      <w:pPr>
        <w:pStyle w:val="ListBullet"/>
      </w:pPr>
      <w:r>
        <w:t>Near-Expiry: batch/expiry tracking → near-expiry threshold → flag → action (sell-through promo / pull-back) before expiry.</w:t>
      </w:r>
    </w:p>
    <w:p>
      <w:pPr>
        <w:pStyle w:val="ListBullet"/>
      </w:pPr>
      <w:r>
        <w:t>Old/Expired: expired stock → segregate (block) → expiry claim → approval → warehouse processing (destroy / return-to-supplier) → credit note + write-off.</w:t>
      </w:r>
    </w:p>
    <w:p>
      <w:pPr>
        <w:pStyle w:val="ListBullet"/>
      </w:pPr>
      <w:r>
        <w:t>Approvals tiered by value (supervisor → area → region); fully audited.</w:t>
      </w:r>
    </w:p>
    <w:p>
      <w:pPr>
        <w:pStyle w:val="Heading1"/>
      </w:pPr>
      <w:r>
        <w:t>9. Customer Data Governance (KSA)</w:t>
      </w:r>
    </w:p>
    <w:p>
      <w:r>
        <w:rPr>
          <w:b w:val="0"/>
          <w:i w:val="0"/>
        </w:rPr>
        <w:t>Master-data changes affecting tax/legal/financial integrity are approval-gated change-requests, built on VANTORA’s customer-approval + Dynamic Field Governance + audit.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Change request</w:t>
            </w:r>
          </w:p>
        </w:tc>
        <w:tc>
          <w:tcPr>
            <w:tcW w:type="dxa" w:w="3168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Why governed</w:t>
            </w:r>
          </w:p>
        </w:tc>
        <w:tc>
          <w:tcPr>
            <w:tcW w:type="dxa" w:w="3600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Flow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GPS Change Request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outlet location / fencing integrity</w:t>
            </w:r>
          </w:p>
        </w:tc>
        <w:tc>
          <w:tcPr>
            <w:tcW w:type="dxa" w:w="3600"/>
          </w:tcPr>
          <w:p>
            <w:r/>
            <w:r>
              <w:rPr>
                <w:sz w:val="16"/>
              </w:rPr>
              <w:t>field captures new GPS + photo → supervisor/area approve → apply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CR Update Request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Commercial Registration (السجل التجاري)</w:t>
            </w:r>
          </w:p>
        </w:tc>
        <w:tc>
          <w:tcPr>
            <w:tcW w:type="dxa" w:w="3600"/>
          </w:tcPr>
          <w:p>
            <w:r/>
            <w:r>
              <w:rPr>
                <w:sz w:val="16"/>
              </w:rPr>
              <w:t>requestor → compliance review → approve → apply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VAT Update Request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VAT no. (15-digit) — affects e-invoicing</w:t>
            </w:r>
          </w:p>
        </w:tc>
        <w:tc>
          <w:tcPr>
            <w:tcW w:type="dxa" w:w="3600"/>
          </w:tcPr>
          <w:p>
            <w:r/>
            <w:r>
              <w:rPr>
                <w:sz w:val="16"/>
              </w:rPr>
              <w:t>requestor → finance/compliance approve → apply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6"/>
              </w:rPr>
              <w:t>National Address Update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العنوان الوطني (unified address)</w:t>
            </w:r>
          </w:p>
        </w:tc>
        <w:tc>
          <w:tcPr>
            <w:tcW w:type="dxa" w:w="3600"/>
          </w:tcPr>
          <w:p>
            <w:r/>
            <w:r>
              <w:rPr>
                <w:sz w:val="16"/>
              </w:rPr>
              <w:t>requestor → review → approve → apply</w:t>
            </w:r>
          </w:p>
        </w:tc>
      </w:tr>
    </w:tbl>
    <w:p/>
    <w:p>
      <w:pPr>
        <w:pStyle w:val="Heading1"/>
      </w:pPr>
      <w:r>
        <w:t>10. Security &amp;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Group</w:t>
            </w:r>
          </w:p>
        </w:tc>
        <w:tc>
          <w:tcPr>
            <w:tcW w:type="dxa" w:w="7344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Permission keys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Customers / CDG</w:t>
            </w:r>
          </w:p>
        </w:tc>
        <w:tc>
          <w:tcPr>
            <w:tcW w:type="dxa" w:w="7344"/>
          </w:tcPr>
          <w:p>
            <w:r/>
            <w:r>
              <w:rPr>
                <w:sz w:val="16"/>
              </w:rPr>
              <w:t>customers.manage/approve, customer.classify, credit.request.create/approve, cdg.request.create, cdg.gps/cr/vat/address.approve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Route / Journey</w:t>
            </w:r>
          </w:p>
        </w:tc>
        <w:tc>
          <w:tcPr>
            <w:tcW w:type="dxa" w:w="7344"/>
          </w:tcPr>
          <w:p>
            <w:r/>
            <w:r>
              <w:rPr>
                <w:sz w:val="16"/>
              </w:rPr>
              <w:t>route.create/import, journey.create/import, beat.plan, accompaniment.record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Van sales</w:t>
            </w:r>
          </w:p>
        </w:tc>
        <w:tc>
          <w:tcPr>
            <w:tcW w:type="dxa" w:w="7344"/>
          </w:tcPr>
          <w:p>
            <w:r/>
            <w:r>
              <w:rPr>
                <w:sz w:val="16"/>
              </w:rPr>
              <w:t>vansales.load, sales.sell/return/collect, day.close, day.approve_close_exception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Perfect Store</w:t>
            </w:r>
          </w:p>
        </w:tc>
        <w:tc>
          <w:tcPr>
            <w:tcW w:type="dxa" w:w="7344"/>
          </w:tcPr>
          <w:p>
            <w:r/>
            <w:r>
              <w:rPr>
                <w:sz w:val="16"/>
              </w:rPr>
              <w:t>field.sales, visit.override_gps, visit.approve_out_of_route, audit.capture, assortment.manage, grade.manage, planogram.manage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Trade marketing</w:t>
            </w:r>
          </w:p>
        </w:tc>
        <w:tc>
          <w:tcPr>
            <w:tcW w:type="dxa" w:w="7344"/>
          </w:tcPr>
          <w:p>
            <w:r/>
            <w:r>
              <w:rPr>
                <w:sz w:val="16"/>
              </w:rPr>
              <w:t>trade.promo/display/listing/budget.manage, trade.claim.create/approve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Near/old expiry</w:t>
            </w:r>
          </w:p>
        </w:tc>
        <w:tc>
          <w:tcPr>
            <w:tcW w:type="dxa" w:w="7344"/>
          </w:tcPr>
          <w:p>
            <w:r/>
            <w:r>
              <w:rPr>
                <w:sz w:val="16"/>
              </w:rPr>
              <w:t>expiry.manage, returns.claim.create/approve, inventory.adjustment.approve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Targets / analytics</w:t>
            </w:r>
          </w:p>
        </w:tc>
        <w:tc>
          <w:tcPr>
            <w:tcW w:type="dxa" w:w="7344"/>
          </w:tcPr>
          <w:p>
            <w:r/>
            <w:r>
              <w:rPr>
                <w:sz w:val="16"/>
              </w:rPr>
              <w:t>target.view/manage, reports.view, report.aggregate.view, reconciliation.view/manage/approve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Distributor / RTM</w:t>
            </w:r>
          </w:p>
        </w:tc>
        <w:tc>
          <w:tcPr>
            <w:tcW w:type="dxa" w:w="7344"/>
          </w:tcPr>
          <w:p>
            <w:r/>
            <w:r>
              <w:rPr>
                <w:sz w:val="16"/>
              </w:rPr>
              <w:t>principal.manage, brand.manage, distributor.manage, distributor.target.manage, secondary.ingest, rebate.scheme.manage, rebate.accrual.approve, keyaccount.manage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Strategy / Executive</w:t>
            </w:r>
          </w:p>
        </w:tc>
        <w:tc>
          <w:tcPr>
            <w:tcW w:type="dxa" w:w="7344"/>
          </w:tcPr>
          <w:p>
            <w:r/>
            <w:r>
              <w:rPr>
                <w:sz w:val="16"/>
              </w:rPr>
              <w:t>exec.dashboard.view, jbp.manage, agreement.manage, growth.target.manage, market.share.manage, distributor.scorecard.view</w:t>
            </w:r>
          </w:p>
        </w:tc>
      </w:tr>
    </w:tbl>
    <w:p/>
    <w:p>
      <w:r>
        <w:rPr>
          <w:b/>
          <w:i w:val="0"/>
        </w:rPr>
        <w:t>Role × approval authority (key):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600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1008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Merch</w:t>
            </w:r>
          </w:p>
        </w:tc>
        <w:tc>
          <w:tcPr>
            <w:tcW w:type="dxa" w:w="1224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Sales/Van</w:t>
            </w:r>
          </w:p>
        </w:tc>
        <w:tc>
          <w:tcPr>
            <w:tcW w:type="dxa" w:w="1368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Supervisor</w:t>
            </w:r>
          </w:p>
        </w:tc>
        <w:tc>
          <w:tcPr>
            <w:tcW w:type="dxa" w:w="864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Area</w:t>
            </w:r>
          </w:p>
        </w:tc>
        <w:tc>
          <w:tcPr>
            <w:tcW w:type="dxa" w:w="1008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Regional</w:t>
            </w:r>
          </w:p>
        </w:tc>
        <w:tc>
          <w:tcPr>
            <w:tcW w:type="dxa" w:w="720"/>
            <w:shd w:val="clear" w:fill="1F3A5F"/>
          </w:tcPr>
          <w:p>
            <w:r/>
            <w:r>
              <w:rPr>
                <w:b/>
                <w:color w:val="FFFFFF"/>
                <w:sz w:val="15"/>
              </w:rPr>
              <w:t>NSM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Audit capture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view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view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view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Sell/return/collect/day-close submit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view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view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view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Out-of-route / GPS override / day-close exception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Accompaniment (route riding)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GPS change-request approve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CR / VAT / National Address approve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Promotions / displays / listing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Trade claim approve (tiered)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≤L1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≤L2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≤L3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all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Expiry / write-off approve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≤L1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≤L2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✔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4"/>
              </w:rPr>
              <w:t>Targets / credit-limit approve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224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1368"/>
          </w:tcPr>
          <w:p>
            <w:r/>
            <w:r>
              <w:rPr>
                <w:sz w:val="14"/>
              </w:rPr>
              <w:t>—</w:t>
            </w:r>
          </w:p>
        </w:tc>
        <w:tc>
          <w:tcPr>
            <w:tcW w:type="dxa" w:w="864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1008"/>
          </w:tcPr>
          <w:p>
            <w:r/>
            <w:r>
              <w:rPr>
                <w:sz w:val="14"/>
              </w:rPr>
              <w:t>✔</w:t>
            </w:r>
          </w:p>
        </w:tc>
        <w:tc>
          <w:tcPr>
            <w:tcW w:type="dxa" w:w="720"/>
          </w:tcPr>
          <w:p>
            <w:r/>
            <w:r>
              <w:rPr>
                <w:sz w:val="14"/>
              </w:rPr>
              <w:t>✔</w:t>
            </w:r>
          </w:p>
        </w:tc>
      </w:tr>
    </w:tbl>
    <w:p/>
    <w:p>
      <w:r>
        <w:rPr>
          <w:b w:val="0"/>
          <w:i/>
        </w:rPr>
        <w:t>All approvals + sensitive mutations are written to erp_audit_logs via erp_log_audit.</w:t>
      </w:r>
    </w:p>
    <w:p>
      <w:pPr>
        <w:pStyle w:val="Heading1"/>
      </w:pPr>
      <w:r>
        <w:t>11. Database Design</w:t>
      </w:r>
    </w:p>
    <w:p>
      <w:r>
        <w:rPr>
          <w:b w:val="0"/>
          <w:i w:val="0"/>
        </w:rPr>
        <w:t>All new tables company_id-scoped; RLS company_id = erp_user_company_id() OR erp_is_platform_owner(); created_by/updated_by/created_at; audited mutations.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84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cg_e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8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5 — FMCG pack entity-relationship overview.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Table group</w:t>
            </w:r>
          </w:p>
        </w:tc>
        <w:tc>
          <w:tcPr>
            <w:tcW w:type="dxa" w:w="5040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channels / customer_profile / customer_change_requests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channel master, FMCG+KSA attributes, CDG governance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journey_plans / journey_stops / beats / accompaniments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PJP, planned visits, day beat, route-riding evals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load_sheets / load_sheet_lines / van_reconciliations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van load + day-close variance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store_audits / audit_lines / planograms / competitor_obs / visit_photos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Perfect-Store capture + evidence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promotions / promo_lines / listing_fees / displays / display_contracts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trade mechanics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trade_budgets / trade_spend / activity_calendar / claims / claim_lines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spend + claims lifecycle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expiry_batches / return_claims / return_claim_lines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near/old expiry + returns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targets / daily_rollup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targets + pre-aggregated KPIs (by brand/principal/distributor/territory)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principals / brands / distributors / distributor_territories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RTM master: multi-brand, multi-principal, multi-distributor by region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distributor_targets / secondary_sales / channel_stock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sell-in &amp; sell-out targets; secondary transactions; stock-in-trade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rebate_schemes / _accruals / _settlements / key_accounts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rebate programs lifecycle; Key Account Management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operating_modes / distributor_inventory / distributor_scorecards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company mode + per-region GTM; distributor stock; scorecards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distributor_agreements / jbp / growth_targets / market_share</w:t>
            </w:r>
          </w:p>
        </w:tc>
        <w:tc>
          <w:tcPr>
            <w:tcW w:type="dxa" w:w="5040"/>
          </w:tcPr>
          <w:p>
            <w:r/>
            <w:r>
              <w:rPr>
                <w:sz w:val="16"/>
              </w:rPr>
              <w:t>contracts; Joint Business Plans; growth &amp; market share</w:t>
            </w:r>
          </w:p>
        </w:tc>
      </w:tr>
    </w:tbl>
    <w:p/>
    <w:p>
      <w:r>
        <w:rPr>
          <w:b w:val="0"/>
          <w:i w:val="0"/>
        </w:rPr>
        <w:t>Index strategy: every FK indexed; composite (company_id, created_at DESC) and (route_id/salesman, date) on high-volume tables; partial indexes for hot predicates; RLS auth wrapped in (SELECT …). Scalability: monthly range-partition high-volume tables; analytics via rollups; photos to object storage.</w:t>
      </w:r>
    </w:p>
    <w:p>
      <w:pPr>
        <w:pStyle w:val="Heading1"/>
      </w:pPr>
      <w:r>
        <w:t>12. Mobile-First Field App</w:t>
      </w:r>
    </w:p>
    <w:p>
      <w:r>
        <w:rPr>
          <w:b w:val="0"/>
          <w:i w:val="0"/>
        </w:rPr>
        <w:t>Field reps work in low-connectivity outlets — mobile-first, fast, offline-capable (queue + sync), Arabic/RTL, GPS-aware.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App</w:t>
            </w:r>
          </w:p>
        </w:tc>
        <w:tc>
          <w:tcPr>
            <w:tcW w:type="dxa" w:w="2448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User</w:t>
            </w:r>
          </w:p>
        </w:tc>
        <w:tc>
          <w:tcPr>
            <w:tcW w:type="dxa" w:w="4896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Core screens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Salesman app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Salesman / Van Salesman</w:t>
            </w:r>
          </w:p>
        </w:tc>
        <w:tc>
          <w:tcPr>
            <w:tcW w:type="dxa" w:w="4896"/>
          </w:tcPr>
          <w:p>
            <w:r/>
            <w:r>
              <w:rPr>
                <w:sz w:val="16"/>
              </w:rPr>
              <w:t>My Day/beat; check-in (GPS); order or van-sell; collect; audit; photos; day-close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Supervisor app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Supervisor</w:t>
            </w:r>
          </w:p>
        </w:tc>
        <w:tc>
          <w:tcPr>
            <w:tcW w:type="dxa" w:w="4896"/>
          </w:tcPr>
          <w:p>
            <w:r/>
            <w:r>
              <w:rPr>
                <w:sz w:val="16"/>
              </w:rPr>
              <w:t>route riding / accompaniment; approvals (out-of-route, GPS override, day-close exception, CDG GPS); live coverage/strike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6"/>
              </w:rPr>
              <w:t>Merchandiser app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Merchandiser</w:t>
            </w:r>
          </w:p>
        </w:tc>
        <w:tc>
          <w:tcPr>
            <w:tcW w:type="dxa" w:w="4896"/>
          </w:tcPr>
          <w:p>
            <w:r/>
            <w:r>
              <w:rPr>
                <w:sz w:val="16"/>
              </w:rPr>
              <w:t>store audit (MSL/OSA/SOS/planogram); competitor; photos — no selling</w:t>
            </w:r>
          </w:p>
        </w:tc>
      </w:tr>
    </w:tbl>
    <w:p/>
    <w:p>
      <w:pPr>
        <w:pStyle w:val="Heading1"/>
      </w:pPr>
      <w:r>
        <w:t>13. Saudi Arabia Localization</w:t>
      </w:r>
    </w:p>
    <w:p>
      <w:pPr>
        <w:pStyle w:val="ListBullet"/>
      </w:pPr>
      <w:r>
        <w:t>VAT 15% standard rate (inclusive/exclusive handling).</w:t>
      </w:r>
    </w:p>
    <w:p>
      <w:pPr>
        <w:pStyle w:val="ListBullet"/>
      </w:pPr>
      <w:r>
        <w:t>ZATCA e-invoicing (Fatoora) Phase 2 — compliant e-invoices, QR, clearance/reporting (via the integrations module; mirrors the existing ETA pattern).</w:t>
      </w:r>
    </w:p>
    <w:p>
      <w:pPr>
        <w:pStyle w:val="ListBullet"/>
      </w:pPr>
      <w:r>
        <w:t>Commercial Registration (CR) + VAT number (15-digit) on customer master, governed via CDG.</w:t>
      </w:r>
    </w:p>
    <w:p>
      <w:pPr>
        <w:pStyle w:val="ListBullet"/>
      </w:pPr>
      <w:r>
        <w:t>National Address (العنوان الوطني): building/street/district/city/postal/additional no.</w:t>
      </w:r>
    </w:p>
    <w:p>
      <w:pPr>
        <w:pStyle w:val="ListBullet"/>
      </w:pPr>
      <w:r>
        <w:t>Arabic-first, RTL; Hijri date optional; currency SAR.</w:t>
      </w:r>
    </w:p>
    <w:p>
      <w:pPr>
        <w:pStyle w:val="Heading1"/>
      </w:pPr>
      <w:r>
        <w:t>14. Enterprise Best-Practice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Practice</w:t>
            </w:r>
          </w:p>
        </w:tc>
        <w:tc>
          <w:tcPr>
            <w:tcW w:type="dxa" w:w="2016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4032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In this pack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Route-to-Market / DMS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all</w:t>
            </w:r>
          </w:p>
        </w:tc>
        <w:tc>
          <w:tcPr>
            <w:tcW w:type="dxa" w:w="4032"/>
          </w:tcPr>
          <w:p>
            <w:r/>
            <w:r>
              <w:rPr>
                <w:sz w:val="16"/>
              </w:rPr>
              <w:t>distribution module; van/pre-sell; routes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PJP + beat planning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Nestlé / Unilever</w:t>
            </w:r>
          </w:p>
        </w:tc>
        <w:tc>
          <w:tcPr>
            <w:tcW w:type="dxa" w:w="4032"/>
          </w:tcPr>
          <w:p>
            <w:r/>
            <w:r>
              <w:rPr>
                <w:sz w:val="16"/>
              </w:rPr>
              <w:t>journey plans, beats, coverage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Perfect Store / RED / Picture of Success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Coca-Cola / PepsiCo</w:t>
            </w:r>
          </w:p>
        </w:tc>
        <w:tc>
          <w:tcPr>
            <w:tcW w:type="dxa" w:w="4032"/>
          </w:tcPr>
          <w:p>
            <w:r/>
            <w:r>
              <w:rPr>
                <w:sz w:val="16"/>
              </w:rPr>
              <w:t>store audits; MSL/OSA/SOS/planogram; Perfect-Store score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Numeric &amp; Weighted Distribution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Nielsen / all</w:t>
            </w:r>
          </w:p>
        </w:tc>
        <w:tc>
          <w:tcPr>
            <w:tcW w:type="dxa" w:w="4032"/>
          </w:tcPr>
          <w:p>
            <w:r/>
            <w:r>
              <w:rPr>
                <w:sz w:val="16"/>
              </w:rPr>
              <w:t>ND/WD KPIs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Trade Promotion Management + ROTS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P&amp;G / Mondelez</w:t>
            </w:r>
          </w:p>
        </w:tc>
        <w:tc>
          <w:tcPr>
            <w:tcW w:type="dxa" w:w="4032"/>
          </w:tcPr>
          <w:p>
            <w:r/>
            <w:r>
              <w:rPr>
                <w:sz w:val="16"/>
              </w:rPr>
              <w:t>spend, promos, listing fees, claims, ROI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Route riding / field coaching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Unilever / PepsiCo</w:t>
            </w:r>
          </w:p>
        </w:tc>
        <w:tc>
          <w:tcPr>
            <w:tcW w:type="dxa" w:w="4032"/>
          </w:tcPr>
          <w:p>
            <w:r/>
            <w:r>
              <w:rPr>
                <w:sz w:val="16"/>
              </w:rPr>
              <w:t>accompaniments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6"/>
              </w:rPr>
              <w:t>Master-data governance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all</w:t>
            </w:r>
          </w:p>
        </w:tc>
        <w:tc>
          <w:tcPr>
            <w:tcW w:type="dxa" w:w="4032"/>
          </w:tcPr>
          <w:p>
            <w:r/>
            <w:r>
              <w:rPr>
                <w:sz w:val="16"/>
              </w:rPr>
              <w:t>CDG change-requests + approvals + audit</w:t>
            </w:r>
          </w:p>
        </w:tc>
      </w:tr>
    </w:tbl>
    <w:p/>
    <w:p>
      <w:pPr>
        <w:pStyle w:val="Heading1"/>
      </w:pPr>
      <w:r>
        <w:t>15. Governance Compliance</w:t>
      </w:r>
    </w:p>
    <w:p>
      <w:pPr>
        <w:pStyle w:val="ListBullet"/>
      </w:pPr>
      <w:r>
        <w:t>Plan-gated distribution + field_ops; distribution/general business-type templates.</w:t>
      </w:r>
    </w:p>
    <w:p>
      <w:pPr>
        <w:pStyle w:val="ListBullet"/>
      </w:pPr>
      <w:r>
        <w:t>Company-scoped RLS on all new tables; sensitive tables tightly scoped; reads/writes verified.</w:t>
      </w:r>
    </w:p>
    <w:p>
      <w:pPr>
        <w:pStyle w:val="ListBullet"/>
      </w:pPr>
      <w:r>
        <w:t>Audit on all approvals + sensitive mutations (erp_log_audit).</w:t>
      </w:r>
    </w:p>
    <w:p>
      <w:pPr>
        <w:pStyle w:val="ListBullet"/>
      </w:pPr>
      <w:r>
        <w:t>Role hierarchy + region/area/route scope reuse platform mechanisms.</w:t>
      </w:r>
    </w:p>
    <w:p>
      <w:pPr>
        <w:pStyle w:val="ListBullet"/>
      </w:pPr>
      <w:r>
        <w:t>Permissions registered (labels + groups + danger flags); managed via Global Roles &amp; Plans editors.</w:t>
      </w:r>
    </w:p>
    <w:p>
      <w:pPr>
        <w:pStyle w:val="ListBullet"/>
      </w:pPr>
      <w:r>
        <w:t>FK index coverage + per-query RLS + rollups/partitioning plan; files in object storage.</w:t>
      </w:r>
    </w:p>
    <w:p>
      <w:pPr>
        <w:pStyle w:val="Heading1"/>
      </w:pPr>
      <w:r>
        <w:t>16. Implementation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6912"/>
            <w:shd w:val="clear" w:fill="1F3A5F"/>
          </w:tcPr>
          <w:p>
            <w:r/>
            <w:r>
              <w:rPr>
                <w:b/>
                <w:color w:val="FFFFFF"/>
                <w:sz w:val="17"/>
              </w:rPr>
              <w:t>Scope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F1 — Foundation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Customer profile/classification/channel/KSA fields; route master; PJP &amp; beats; Customer Data Governance; permissions + RLS + audit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F2 — Mobile field &amp; Perfect Store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Salesman/Supervisor/Merchandiser apps; visits + GPS validation; store audits (MSL/OSA/SOS/planogram); competitor; photos; coverage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F3 — Van sales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Load sheet; van inventory; mobile sell/return/collect; near-expiry; day-close reconciliation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F4 — Trade marketing (TPM)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Promotions (pricing); displays; listing fees; budgets/spend; activity calendar; claims + approvals; ROI/ROTS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F5 — Near/old expiry &amp; returns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Batch/expiry; near + expired workflows; claims; warehouse processing + accounting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F6 — Distribution analytics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Daily rollups; ND/WD/coverage/strike/SKU-per-outlet/avg-invoice/Perfect-Store; partitioning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6"/>
              </w:rPr>
              <w:t>F7 — KSA compliance &amp; hardening</w:t>
            </w:r>
          </w:p>
        </w:tc>
        <w:tc>
          <w:tcPr>
            <w:tcW w:type="dxa" w:w="6912"/>
          </w:tcPr>
          <w:p>
            <w:r/>
            <w:r>
              <w:rPr>
                <w:sz w:val="16"/>
              </w:rPr>
              <w:t>ZATCA/Fatoora; VAT; approval-threshold matrix; targets cascade; offline-sync hardening; load test; retention</w:t>
            </w:r>
          </w:p>
        </w:tc>
      </w:tr>
    </w:tbl>
    <w:p/>
    <w:p>
      <w:pPr>
        <w:pStyle w:val="Heading1"/>
      </w:pPr>
      <w:r>
        <w:t>17. Open Decisions &amp; Risks</w:t>
      </w:r>
    </w:p>
    <w:p>
      <w:pPr>
        <w:pStyle w:val="ListBullet"/>
      </w:pPr>
      <w:r>
        <w:t>Pre-sell vs van-sell (or hybrid) default per channel — model supports both.</w:t>
      </w:r>
    </w:p>
    <w:p>
      <w:pPr>
        <w:pStyle w:val="ListBullet"/>
      </w:pPr>
      <w:r>
        <w:t>ZATCA Phase-2 clearance integration scope &amp; certified solution provider.</w:t>
      </w:r>
    </w:p>
    <w:p>
      <w:pPr>
        <w:pStyle w:val="ListBullet"/>
      </w:pPr>
      <w:r>
        <w:t>Trade-spend ↔ accounting posting (accrual vs claim-time) — finance sign-off.</w:t>
      </w:r>
    </w:p>
    <w:p>
      <w:pPr>
        <w:pStyle w:val="ListBullet"/>
      </w:pPr>
      <w:r>
        <w:t>Offline-first sync/conflict strategy for the mobile apps (separate mobile design doc).</w:t>
      </w:r>
    </w:p>
    <w:p>
      <w:pPr>
        <w:pStyle w:val="ListBullet"/>
      </w:pPr>
      <w:r>
        <w:t>Promotion-engine depth (slab/bundle) — extend the existing pricing engine vs a new TPM engine.</w:t>
      </w:r>
    </w:p>
    <w:p>
      <w:r>
        <w:br w:type="page"/>
      </w:r>
    </w:p>
    <w:p>
      <w:pPr>
        <w:pStyle w:val="Heading1"/>
      </w:pPr>
      <w:r>
        <w:t>Appendix — Workflow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4127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mcg_workflo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6 — Key FMCG operational workflows (van-sales day cycle, visit &amp; merchandising, trade promotion &amp; claims, near/old expiry, customer data governance).</w:t>
      </w:r>
    </w:p>
    <w:p/>
    <w:p>
      <w:pPr>
        <w:jc w:val="center"/>
      </w:pPr>
      <w:r>
        <w:rPr>
          <w:i/>
          <w:color w:val="888888"/>
        </w:rPr>
        <w:t>— End of design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