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Final Pilot Role &amp; Permission Certification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Final Pilot Role &amp; Permission Certification</w:t>
      </w:r>
    </w:p>
    <w:p>
      <w:r>
        <w:rPr>
          <w:b/>
        </w:rPr>
        <w:t>Certification:</w:t>
      </w:r>
      <w:r>
        <w:t xml:space="preserve"> the FMCG van-sales pilot role &amp; permission model is **CERTIFIED</w:t>
      </w:r>
    </w:p>
    <w:p>
      <w:r>
        <w:t>GO**. All role/permission changes are implemented, applied to the live pilot database,</w:t>
      </w:r>
    </w:p>
    <w:p>
      <w:r>
        <w:t>runtime-verified per role, and regression-locked by tests.</w:t>
      </w:r>
    </w:p>
    <w:p>
      <w:r>
        <w:rPr>
          <w:b/>
        </w:rPr>
        <w:t>Environment binding (confirmed):</w:t>
      </w:r>
    </w:p>
    <w:p>
      <w:pPr>
        <w:pStyle w:val="ListBullet"/>
      </w:pPr>
      <w:r>
        <w:rPr>
          <w:b/>
        </w:rPr>
        <w:t>Branch (SoT):</w:t>
      </w:r>
      <w:r>
        <w:t xml:space="preserve"> </w:t>
      </w:r>
      <w:r>
        <w:rPr>
          <w:rFonts w:ascii="Consolas" w:hAnsi="Consolas"/>
          <w:sz w:val="19"/>
        </w:rPr>
        <w:t>claude/fmcg-sell-collect-loop</w:t>
      </w:r>
      <w:r>
        <w:t xml:space="preserve"> — now also merged to </w:t>
      </w:r>
      <w:r>
        <w:rPr>
          <w:rFonts w:ascii="Consolas" w:hAnsi="Consolas"/>
          <w:sz w:val="19"/>
        </w:rPr>
        <w:t>main</w:t>
      </w:r>
      <w:r>
        <w:t xml:space="preserve"> (</w:t>
      </w:r>
      <w:r>
        <w:rPr>
          <w:rFonts w:ascii="Consolas" w:hAnsi="Consolas"/>
          <w:sz w:val="19"/>
        </w:rPr>
        <w:t>0c7bf69</w:t>
      </w:r>
      <w:r>
        <w:t>)</w:t>
      </w:r>
    </w:p>
    <w:p>
      <w:pPr>
        <w:pStyle w:val="ListBullet"/>
      </w:pPr>
      <w:r>
        <w:rPr>
          <w:b/>
        </w:rPr>
        <w:t>Deployment:</w:t>
      </w:r>
      <w:r>
        <w:t xml:space="preserve"> </w:t>
      </w:r>
      <w:r>
        <w:rPr>
          <w:rFonts w:ascii="Consolas" w:hAnsi="Consolas"/>
          <w:sz w:val="19"/>
        </w:rPr>
        <w:t>kako-git-claude-fmcg-sell-collect-loop-123456789-s-projects.vercel.app</w:t>
      </w:r>
    </w:p>
    <w:p>
      <w:pPr>
        <w:pStyle w:val="ListBullet"/>
      </w:pPr>
      <w:r>
        <w:rPr>
          <w:b/>
        </w:rPr>
        <w:t>Environment:</w:t>
      </w:r>
      <w:r>
        <w:t xml:space="preserve"> Vercel preview (kako project)</w:t>
      </w:r>
    </w:p>
    <w:p>
      <w:pPr>
        <w:pStyle w:val="ListBullet"/>
      </w:pPr>
      <w:r>
        <w:rPr>
          <w:b/>
        </w:rPr>
        <w:t>Database:</w:t>
      </w:r>
      <w:r>
        <w:t xml:space="preserve"> vantora-staging (</w:t>
      </w:r>
      <w:r>
        <w:rPr>
          <w:rFonts w:ascii="Consolas" w:hAnsi="Consolas"/>
          <w:sz w:val="19"/>
        </w:rPr>
        <w:t>rsjvgehvastmawzwnqcs</w:t>
      </w:r>
      <w:r>
        <w:t xml:space="preserve">), pilot company </w:t>
      </w:r>
      <w:r>
        <w:rPr>
          <w:rFonts w:ascii="Consolas" w:hAnsi="Consolas"/>
          <w:sz w:val="19"/>
        </w:rPr>
        <w:t>612af0bd…</w:t>
      </w:r>
    </w:p>
    <w:p>
      <w:pPr>
        <w:pStyle w:val="ListBullet"/>
      </w:pPr>
      <w:r>
        <w:rPr>
          <w:b/>
        </w:rPr>
        <w:t>Evidence:</w:t>
      </w:r>
      <w:r>
        <w:t xml:space="preserve"> live </w:t>
      </w:r>
      <w:r>
        <w:rPr>
          <w:rFonts w:ascii="Consolas" w:hAnsi="Consolas"/>
          <w:sz w:val="19"/>
        </w:rPr>
        <w:t>erp_user_has_perm</w:t>
      </w:r>
      <w:r>
        <w:t xml:space="preserve"> probes acting as each of the 9 pilot accounts;</w:t>
      </w:r>
    </w:p>
    <w:p>
      <w:r>
        <w:t>full test suite 1540 passed.</w:t>
      </w:r>
    </w:p>
    <w:p>
      <w:pPr>
        <w:pStyle w:val="Heading2"/>
      </w:pPr>
      <w:r>
        <w:rPr>
          <w:color w:val="1F497D"/>
        </w:rPr>
        <w:t>1. Consolidated role × capability matrix (live, vantora-staging)</w:t>
      </w:r>
    </w:p>
    <w:p>
      <w:r>
        <w:t>● = allowed · = denied. Probed as the real pilot account for each role.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  <w:shd w:val="clear" w:fill="1F497D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665"/>
            <w:shd w:val="clear" w:fill="1F497D"/>
          </w:tcPr>
          <w:p>
            <w:r>
              <w:rPr>
                <w:b/>
                <w:color w:val="FFFFFF"/>
              </w:rPr>
              <w:t>Sell</w:t>
            </w:r>
          </w:p>
        </w:tc>
        <w:tc>
          <w:tcPr>
            <w:tcW w:type="dxa" w:w="665"/>
            <w:shd w:val="clear" w:fill="1F497D"/>
          </w:tcPr>
          <w:p>
            <w:r>
              <w:rPr>
                <w:b/>
                <w:color w:val="FFFFFF"/>
              </w:rPr>
              <w:t>Collect</w:t>
            </w:r>
          </w:p>
        </w:tc>
        <w:tc>
          <w:tcPr>
            <w:tcW w:type="dxa" w:w="665"/>
            <w:shd w:val="clear" w:fill="1F497D"/>
          </w:tcPr>
          <w:p>
            <w:r>
              <w:rPr>
                <w:b/>
                <w:color w:val="FFFFFF"/>
              </w:rPr>
              <w:t>Reverse</w:t>
            </w:r>
          </w:p>
        </w:tc>
        <w:tc>
          <w:tcPr>
            <w:tcW w:type="dxa" w:w="665"/>
            <w:shd w:val="clear" w:fill="1F497D"/>
          </w:tcPr>
          <w:p>
            <w:r>
              <w:rPr>
                <w:b/>
                <w:color w:val="FFFFFF"/>
              </w:rPr>
              <w:t>Cash Box</w:t>
            </w:r>
          </w:p>
        </w:tc>
        <w:tc>
          <w:tcPr>
            <w:tcW w:type="dxa" w:w="665"/>
            <w:shd w:val="clear" w:fill="1F497D"/>
          </w:tcPr>
          <w:p>
            <w:r>
              <w:rPr>
                <w:b/>
                <w:color w:val="FFFFFF"/>
              </w:rPr>
              <w:t>Settle</w:t>
            </w:r>
          </w:p>
        </w:tc>
        <w:tc>
          <w:tcPr>
            <w:tcW w:type="dxa" w:w="665"/>
            <w:shd w:val="clear" w:fill="1F497D"/>
          </w:tcPr>
          <w:p>
            <w:r>
              <w:rPr>
                <w:b/>
                <w:color w:val="FFFFFF"/>
              </w:rPr>
              <w:t>Reconcile</w:t>
            </w:r>
          </w:p>
        </w:tc>
        <w:tc>
          <w:tcPr>
            <w:tcW w:type="dxa" w:w="665"/>
            <w:shd w:val="clear" w:fill="1F497D"/>
          </w:tcPr>
          <w:p>
            <w:r>
              <w:rPr>
                <w:b/>
                <w:color w:val="FFFFFF"/>
              </w:rPr>
              <w:t>Supervise close</w:t>
            </w:r>
          </w:p>
        </w:tc>
        <w:tc>
          <w:tcPr>
            <w:tcW w:type="dxa" w:w="665"/>
            <w:shd w:val="clear" w:fill="1F497D"/>
          </w:tcPr>
          <w:p>
            <w:r>
              <w:rPr>
                <w:b/>
                <w:color w:val="FFFFFF"/>
              </w:rPr>
              <w:t>Accept cash</w:t>
            </w:r>
          </w:p>
        </w:tc>
        <w:tc>
          <w:tcPr>
            <w:tcW w:type="dxa" w:w="665"/>
            <w:shd w:val="clear" w:fill="1F497D"/>
          </w:tcPr>
          <w:p>
            <w:r>
              <w:rPr>
                <w:b/>
                <w:color w:val="FFFFFF"/>
              </w:rPr>
              <w:t>Approve returns</w:t>
            </w:r>
          </w:p>
        </w:tc>
        <w:tc>
          <w:tcPr>
            <w:tcW w:type="dxa" w:w="665"/>
            <w:shd w:val="clear" w:fill="1F497D"/>
          </w:tcPr>
          <w:p>
            <w:r>
              <w:rPr>
                <w:b/>
                <w:color w:val="FFFFFF"/>
              </w:rPr>
              <w:t>Approve requests</w:t>
            </w:r>
          </w:p>
        </w:tc>
        <w:tc>
          <w:tcPr>
            <w:tcW w:type="dxa" w:w="665"/>
            <w:shd w:val="clear" w:fill="1F497D"/>
          </w:tcPr>
          <w:p>
            <w:r>
              <w:rPr>
                <w:b/>
                <w:color w:val="FFFFFF"/>
              </w:rPr>
              <w:t>Audit view</w:t>
            </w:r>
          </w:p>
        </w:tc>
        <w:tc>
          <w:tcPr>
            <w:tcW w:type="dxa" w:w="665"/>
            <w:shd w:val="clear" w:fill="1F497D"/>
          </w:tcPr>
          <w:p>
            <w:r>
              <w:rPr>
                <w:b/>
                <w:color w:val="FFFFFF"/>
              </w:rPr>
              <w:t>Reports</w:t>
            </w:r>
          </w:p>
        </w:tc>
      </w:tr>
      <w:tr>
        <w:tc>
          <w:tcPr>
            <w:tcW w:type="dxa" w:w="665"/>
          </w:tcPr>
          <w:p>
            <w:r>
              <w:rPr>
                <w:b/>
              </w:rPr>
              <w:t>salesman</w:t>
            </w:r>
            <w:r>
              <w:t xml:space="preserve"> (Sales Rep)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</w:tr>
      <w:tr>
        <w:tc>
          <w:tcPr>
            <w:tcW w:type="dxa" w:w="665"/>
          </w:tcPr>
          <w:p>
            <w:r>
              <w:rPr>
                <w:b/>
              </w:rPr>
              <w:t>supervisor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●</w:t>
            </w:r>
          </w:p>
        </w:tc>
      </w:tr>
      <w:tr>
        <w:tc>
          <w:tcPr>
            <w:tcW w:type="dxa" w:w="665"/>
          </w:tcPr>
          <w:p>
            <w:r>
              <w:rPr>
                <w:b/>
              </w:rPr>
              <w:t>branch_manager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●</w:t>
            </w:r>
          </w:p>
        </w:tc>
      </w:tr>
      <w:tr>
        <w:tc>
          <w:tcPr>
            <w:tcW w:type="dxa" w:w="665"/>
          </w:tcPr>
          <w:p>
            <w:r>
              <w:rPr>
                <w:b/>
              </w:rPr>
              <w:t>cashier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</w:tr>
      <w:tr>
        <w:tc>
          <w:tcPr>
            <w:tcW w:type="dxa" w:w="665"/>
          </w:tcPr>
          <w:p>
            <w:r>
              <w:rPr>
                <w:b/>
              </w:rPr>
              <w:t>accountant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●</w:t>
            </w:r>
          </w:p>
        </w:tc>
      </w:tr>
      <w:tr>
        <w:tc>
          <w:tcPr>
            <w:tcW w:type="dxa" w:w="665"/>
          </w:tcPr>
          <w:p>
            <w:r>
              <w:rPr>
                <w:b/>
              </w:rPr>
              <w:t>warehouse_keeper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</w:tr>
      <w:tr>
        <w:tc>
          <w:tcPr>
            <w:tcW w:type="dxa" w:w="665"/>
          </w:tcPr>
          <w:p>
            <w:r>
              <w:rPr>
                <w:b/>
              </w:rPr>
              <w:t>auditor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</w:tr>
      <w:tr>
        <w:tc>
          <w:tcPr>
            <w:tcW w:type="dxa" w:w="665"/>
          </w:tcPr>
          <w:p>
            <w:r>
              <w:rPr>
                <w:b/>
              </w:rPr>
              <w:t>viewer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·</w:t>
            </w:r>
          </w:p>
        </w:tc>
        <w:tc>
          <w:tcPr>
            <w:tcW w:type="dxa" w:w="665"/>
          </w:tcPr>
          <w:p>
            <w:r>
              <w:t>●</w:t>
            </w:r>
          </w:p>
        </w:tc>
      </w:tr>
      <w:tr>
        <w:tc>
          <w:tcPr>
            <w:tcW w:type="dxa" w:w="665"/>
          </w:tcPr>
          <w:p>
            <w:r>
              <w:rPr>
                <w:b/>
              </w:rPr>
              <w:t>admin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  <w:tc>
          <w:tcPr>
            <w:tcW w:type="dxa" w:w="665"/>
          </w:tcPr>
          <w:p>
            <w:r>
              <w:t>●</w:t>
            </w:r>
          </w:p>
        </w:tc>
      </w:tr>
    </w:tbl>
    <w:p/>
    <w:p>
      <w:r>
        <w:t xml:space="preserve">(Reverse = </w:t>
      </w:r>
      <w:r>
        <w:rPr>
          <w:rFonts w:ascii="Consolas" w:hAnsi="Consolas"/>
          <w:sz w:val="19"/>
        </w:rPr>
        <w:t>accounting.post</w:t>
      </w:r>
      <w:r>
        <w:t xml:space="preserve">; Cash Box = </w:t>
      </w:r>
      <w:r>
        <w:rPr>
          <w:rFonts w:ascii="Consolas" w:hAnsi="Consolas"/>
          <w:sz w:val="19"/>
        </w:rPr>
        <w:t>treasury.manage</w:t>
      </w:r>
      <w:r>
        <w:t xml:space="preserve">; Settle = </w:t>
      </w:r>
      <w:r>
        <w:rPr>
          <w:rFonts w:ascii="Consolas" w:hAnsi="Consolas"/>
          <w:sz w:val="19"/>
        </w:rPr>
        <w:t>day.close.settle</w:t>
      </w:r>
      <w:r>
        <w:t>;</w:t>
      </w:r>
    </w:p>
    <w:p>
      <w:r>
        <w:t xml:space="preserve">Reconcile = </w:t>
      </w:r>
      <w:r>
        <w:rPr>
          <w:rFonts w:ascii="Consolas" w:hAnsi="Consolas"/>
          <w:sz w:val="19"/>
        </w:rPr>
        <w:t>day.close.reconcile</w:t>
      </w:r>
      <w:r>
        <w:t xml:space="preserve">; Supervise close = </w:t>
      </w:r>
      <w:r>
        <w:rPr>
          <w:rFonts w:ascii="Consolas" w:hAnsi="Consolas"/>
          <w:sz w:val="19"/>
        </w:rPr>
        <w:t>day.close.supervisor</w:t>
      </w:r>
      <w:r>
        <w:t>;</w:t>
      </w:r>
    </w:p>
    <w:p>
      <w:r>
        <w:t xml:space="preserve">Accept cash = </w:t>
      </w:r>
      <w:r>
        <w:rPr>
          <w:rFonts w:ascii="Consolas" w:hAnsi="Consolas"/>
          <w:sz w:val="19"/>
        </w:rPr>
        <w:t>cash.handover.confirm</w:t>
      </w:r>
      <w:r>
        <w:t>.)</w:t>
      </w:r>
    </w:p>
    <w:p>
      <w:pPr>
        <w:pStyle w:val="Heading2"/>
      </w:pPr>
      <w:r>
        <w:rPr>
          <w:color w:val="1F497D"/>
        </w:rPr>
        <w:t>2. Segregation-of-duties attestations (all VERIFIED)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Separation enforced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SoD-1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Collect ≠ Reverse</w:t>
            </w:r>
            <w:r>
              <w:t xml:space="preserve"> — reps/cashiers record collections; only Accountant/Admin reverse</w:t>
            </w:r>
          </w:p>
        </w:tc>
        <w:tc>
          <w:tcPr>
            <w:tcW w:type="dxa" w:w="2880"/>
          </w:tcPr>
          <w:p>
            <w:r>
              <w:t>salesman/supervisor/cashier reverse = · ; accountant/admin = ●</w:t>
            </w:r>
          </w:p>
        </w:tc>
      </w:tr>
      <w:tr>
        <w:tc>
          <w:tcPr>
            <w:tcW w:type="dxa" w:w="2880"/>
          </w:tcPr>
          <w:p>
            <w:r>
              <w:t>SoD-2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Settle ≠ Reconcile</w:t>
            </w:r>
            <w:r>
              <w:t xml:space="preserve"> — Cashier/Accountant settle cash; Supervisor/Branch Mgr/Warehouse reconcile</w:t>
            </w:r>
          </w:p>
        </w:tc>
        <w:tc>
          <w:tcPr>
            <w:tcW w:type="dxa" w:w="2880"/>
          </w:tcPr>
          <w:p>
            <w:r>
              <w:t>no non-admin role holds both settle and reconcile</w:t>
            </w:r>
          </w:p>
        </w:tc>
      </w:tr>
      <w:tr>
        <w:tc>
          <w:tcPr>
            <w:tcW w:type="dxa" w:w="2880"/>
          </w:tcPr>
          <w:p>
            <w:r>
              <w:t>SoD-3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Approve ≠ Execute</w:t>
            </w:r>
            <w:r>
              <w:t xml:space="preserve"> — Supervisor approves/reconciles but does NOT sell/collect/settle</w:t>
            </w:r>
          </w:p>
        </w:tc>
        <w:tc>
          <w:tcPr>
            <w:tcW w:type="dxa" w:w="2880"/>
          </w:tcPr>
          <w:p>
            <w:r>
              <w:t>supervisor sell/collect/settle = · ; supervise/approve = ●</w:t>
            </w:r>
          </w:p>
        </w:tc>
      </w:tr>
      <w:tr>
        <w:tc>
          <w:tcPr>
            <w:tcW w:type="dxa" w:w="2880"/>
          </w:tcPr>
          <w:p>
            <w:r>
              <w:t>SoD-4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Treasury isolation</w:t>
            </w:r>
            <w:r>
              <w:t xml:space="preserve"> — Cash Box (treasury.manage) excludes Sales Rep AND Supervisor</w:t>
            </w:r>
          </w:p>
        </w:tc>
        <w:tc>
          <w:tcPr>
            <w:tcW w:type="dxa" w:w="2880"/>
          </w:tcPr>
          <w:p>
            <w:r>
              <w:t>salesman/supervisor cashbox = · ; cashier/accountant/admin = ●</w:t>
            </w:r>
          </w:p>
        </w:tc>
      </w:tr>
      <w:tr>
        <w:tc>
          <w:tcPr>
            <w:tcW w:type="dxa" w:w="2880"/>
          </w:tcPr>
          <w:p>
            <w:r>
              <w:t>SoD-5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Settlement ownership</w:t>
            </w:r>
            <w:r>
              <w:t xml:space="preserve"> — exactly Cashier / Accountant / Admin (not Supervisor, not Branch Mgr)</w:t>
            </w:r>
          </w:p>
        </w:tc>
        <w:tc>
          <w:tcPr>
            <w:tcW w:type="dxa" w:w="2880"/>
          </w:tcPr>
          <w:p>
            <w:r>
              <w:t>settle ● only for cashier/accountant/admin</w:t>
            </w:r>
          </w:p>
        </w:tc>
      </w:tr>
      <w:tr>
        <w:tc>
          <w:tcPr>
            <w:tcW w:type="dxa" w:w="2880"/>
          </w:tcPr>
          <w:p>
            <w:r>
              <w:t>SoD-6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Auditor read-only</w:t>
            </w:r>
            <w:r>
              <w:t xml:space="preserve"> — audit + reports only, no mutation</w:t>
            </w:r>
          </w:p>
        </w:tc>
        <w:tc>
          <w:tcPr>
            <w:tcW w:type="dxa" w:w="2880"/>
          </w:tcPr>
          <w:p>
            <w:r>
              <w:t>auditor: audit_view+reports = ● ; all else = ·</w:t>
            </w:r>
          </w:p>
        </w:tc>
      </w:tr>
    </w:tbl>
    <w:p/>
    <w:p>
      <w:pPr>
        <w:pStyle w:val="Heading2"/>
      </w:pPr>
      <w:r>
        <w:rPr>
          <w:color w:val="1F497D"/>
        </w:rPr>
        <w:t>3. Change log certified into this state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Change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160"/>
            <w:shd w:val="clear" w:fill="1F497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 xml:space="preserve">Revoke </w:t>
            </w:r>
            <w:r>
              <w:rPr>
                <w:rFonts w:ascii="Consolas" w:hAnsi="Consolas"/>
                <w:sz w:val="19"/>
              </w:rPr>
              <w:t>erp_day_close_try_close</w:t>
            </w:r>
            <w:r>
              <w:t xml:space="preserve"> from PUBLIC/anon/authenticated</w:t>
            </w:r>
          </w:p>
        </w:tc>
        <w:tc>
          <w:tcPr>
            <w:tcW w:type="dxa" w:w="2160"/>
          </w:tcPr>
          <w:p>
            <w:r>
              <w:t>DB (0333)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</w:tr>
      <w:tr>
        <w:tc>
          <w:tcPr>
            <w:tcW w:type="dxa" w:w="2160"/>
          </w:tcPr>
          <w:p>
            <w:r>
              <w:t>D1</w:t>
            </w:r>
          </w:p>
        </w:tc>
        <w:tc>
          <w:tcPr>
            <w:tcW w:type="dxa" w:w="2160"/>
          </w:tcPr>
          <w:p>
            <w:r>
              <w:t xml:space="preserve">Seed </w:t>
            </w:r>
            <w:r>
              <w:rPr>
                <w:rFonts w:ascii="Consolas" w:hAnsi="Consolas"/>
                <w:sz w:val="19"/>
              </w:rPr>
              <w:t>auditor</w:t>
            </w:r>
            <w:r>
              <w:t xml:space="preserve"> role + 11 read-only perms globally</w:t>
            </w:r>
          </w:p>
        </w:tc>
        <w:tc>
          <w:tcPr>
            <w:tcW w:type="dxa" w:w="2160"/>
          </w:tcPr>
          <w:p>
            <w:r>
              <w:t>DB (0334) + code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</w:tr>
      <w:tr>
        <w:tc>
          <w:tcPr>
            <w:tcW w:type="dxa" w:w="2160"/>
          </w:tcPr>
          <w:p>
            <w:r>
              <w:t>Supervisor #1</w:t>
            </w:r>
          </w:p>
        </w:tc>
        <w:tc>
          <w:tcPr>
            <w:tcW w:type="dxa" w:w="2160"/>
          </w:tcPr>
          <w:p>
            <w:r>
              <w:t xml:space="preserve">Remove </w:t>
            </w:r>
            <w:r>
              <w:rPr>
                <w:rFonts w:ascii="Consolas" w:hAnsi="Consolas"/>
                <w:sz w:val="19"/>
              </w:rPr>
              <w:t>sales.sell/collect/return/discount</w:t>
            </w:r>
            <w:r>
              <w:t xml:space="preserve"> (approver, not executor)</w:t>
            </w:r>
          </w:p>
        </w:tc>
        <w:tc>
          <w:tcPr>
            <w:tcW w:type="dxa" w:w="2160"/>
          </w:tcPr>
          <w:p>
            <w:r>
              <w:t>code + DB (0335)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</w:tr>
      <w:tr>
        <w:tc>
          <w:tcPr>
            <w:tcW w:type="dxa" w:w="2160"/>
          </w:tcPr>
          <w:p>
            <w:r>
              <w:t>Collection Reverse</w:t>
            </w:r>
          </w:p>
        </w:tc>
        <w:tc>
          <w:tcPr>
            <w:tcW w:type="dxa" w:w="2160"/>
          </w:tcPr>
          <w:p>
            <w:r>
              <w:t xml:space="preserve">Reverse gated on </w:t>
            </w:r>
            <w:r>
              <w:rPr>
                <w:rFonts w:ascii="Consolas" w:hAnsi="Consolas"/>
                <w:sz w:val="19"/>
              </w:rPr>
              <w:t>accounting.post</w:t>
            </w:r>
            <w:r>
              <w:t>; UI button hidden for non-Finance/Admin</w:t>
            </w:r>
          </w:p>
        </w:tc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</w:tr>
      <w:tr>
        <w:tc>
          <w:tcPr>
            <w:tcW w:type="dxa" w:w="2160"/>
          </w:tcPr>
          <w:p>
            <w:r>
              <w:t>C-2 Settlement SoD</w:t>
            </w:r>
          </w:p>
        </w:tc>
        <w:tc>
          <w:tcPr>
            <w:tcW w:type="dxa" w:w="2160"/>
          </w:tcPr>
          <w:p>
            <w:r>
              <w:t xml:space="preserve">Remove </w:t>
            </w:r>
            <w:r>
              <w:rPr>
                <w:rFonts w:ascii="Consolas" w:hAnsi="Consolas"/>
                <w:sz w:val="19"/>
              </w:rPr>
              <w:t>day.close.settle</w:t>
            </w:r>
            <w:r>
              <w:t xml:space="preserve"> from </w:t>
            </w:r>
            <w:r>
              <w:rPr>
                <w:b/>
              </w:rPr>
              <w:t>Supervisor</w:t>
            </w:r>
          </w:p>
        </w:tc>
        <w:tc>
          <w:tcPr>
            <w:tcW w:type="dxa" w:w="2160"/>
          </w:tcPr>
          <w:p>
            <w:r>
              <w:t>code + DB (0336)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</w:tr>
      <w:tr>
        <w:tc>
          <w:tcPr>
            <w:tcW w:type="dxa" w:w="2160"/>
          </w:tcPr>
          <w:p>
            <w:r>
              <w:t>C-1 Treasury</w:t>
            </w:r>
          </w:p>
        </w:tc>
        <w:tc>
          <w:tcPr>
            <w:tcW w:type="dxa" w:w="2160"/>
          </w:tcPr>
          <w:p>
            <w:r>
              <w:t xml:space="preserve">New </w:t>
            </w:r>
            <w:r>
              <w:rPr>
                <w:rFonts w:ascii="Consolas" w:hAnsi="Consolas"/>
                <w:sz w:val="19"/>
              </w:rPr>
              <w:t>treasury.manage</w:t>
            </w:r>
            <w:r>
              <w:t xml:space="preserve">; re-gate Cash Box (page+actions+nav) off </w:t>
            </w:r>
            <w:r>
              <w:rPr>
                <w:rFonts w:ascii="Consolas" w:hAnsi="Consolas"/>
                <w:sz w:val="19"/>
              </w:rPr>
              <w:t>sales.collect</w:t>
            </w:r>
          </w:p>
        </w:tc>
        <w:tc>
          <w:tcPr>
            <w:tcW w:type="dxa" w:w="2160"/>
          </w:tcPr>
          <w:p>
            <w:r>
              <w:t>code + DB (0336)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</w:tr>
      <w:tr>
        <w:tc>
          <w:tcPr>
            <w:tcW w:type="dxa" w:w="2160"/>
          </w:tcPr>
          <w:p>
            <w:r>
              <w:t>Settlement final</w:t>
            </w:r>
          </w:p>
        </w:tc>
        <w:tc>
          <w:tcPr>
            <w:tcW w:type="dxa" w:w="2160"/>
          </w:tcPr>
          <w:p>
            <w:r>
              <w:t xml:space="preserve">Remove </w:t>
            </w:r>
            <w:r>
              <w:rPr>
                <w:rFonts w:ascii="Consolas" w:hAnsi="Consolas"/>
                <w:sz w:val="19"/>
              </w:rPr>
              <w:t>day.close.settle</w:t>
            </w:r>
            <w:r>
              <w:t xml:space="preserve"> from </w:t>
            </w:r>
            <w:r>
              <w:rPr>
                <w:b/>
              </w:rPr>
              <w:t>Branch Manager</w:t>
            </w:r>
          </w:p>
        </w:tc>
        <w:tc>
          <w:tcPr>
            <w:tcW w:type="dxa" w:w="2160"/>
          </w:tcPr>
          <w:p>
            <w:r>
              <w:t>code + DB (0337)</w:t>
            </w:r>
          </w:p>
        </w:tc>
        <w:tc>
          <w:tcPr>
            <w:tcW w:type="dxa" w:w="2160"/>
          </w:tcPr>
          <w:p>
            <w:r>
              <w:t>Closed</w:t>
            </w:r>
          </w:p>
        </w:tc>
      </w:tr>
      <w:tr>
        <w:tc>
          <w:tcPr>
            <w:tcW w:type="dxa" w:w="2160"/>
          </w:tcPr>
          <w:p>
            <w:r>
              <w:t>C-4 Reconciliation</w:t>
            </w:r>
          </w:p>
        </w:tc>
        <w:tc>
          <w:tcPr>
            <w:tcW w:type="dxa" w:w="2160"/>
          </w:tcPr>
          <w:p>
            <w:r>
              <w:t>Keep Supervisor-owned reconciliation / Cashier-owned settlement</w:t>
            </w:r>
          </w:p>
        </w:tc>
        <w:tc>
          <w:tcPr>
            <w:tcW w:type="dxa" w:w="2160"/>
          </w:tcPr>
          <w:p>
            <w:r>
              <w:t>(no change)</w:t>
            </w:r>
          </w:p>
        </w:tc>
        <w:tc>
          <w:tcPr>
            <w:tcW w:type="dxa" w:w="2160"/>
          </w:tcPr>
          <w:p>
            <w:r>
              <w:t>Confirmed</w:t>
            </w:r>
          </w:p>
        </w:tc>
      </w:tr>
    </w:tbl>
    <w:p/>
    <w:p>
      <w:pPr>
        <w:pStyle w:val="Heading2"/>
      </w:pPr>
      <w:r>
        <w:rPr>
          <w:color w:val="1F497D"/>
        </w:rPr>
        <w:t>4. Validation &amp; test evidence</w:t>
      </w:r>
    </w:p>
    <w:p>
      <w:pPr>
        <w:pStyle w:val="ListBullet"/>
      </w:pPr>
      <w:r>
        <w:rPr>
          <w:b/>
        </w:rPr>
        <w:t>Runtime:</w:t>
      </w:r>
      <w:r>
        <w:t xml:space="preserve"> every row of §1 probed live via </w:t>
      </w:r>
      <w:r>
        <w:rPr>
          <w:rFonts w:ascii="Consolas" w:hAnsi="Consolas"/>
          <w:sz w:val="19"/>
        </w:rPr>
        <w:t>erp_user_has_perm</w:t>
      </w:r>
      <w:r>
        <w:t xml:space="preserve"> acting as the</w:t>
      </w:r>
    </w:p>
    <w:p>
      <w:r>
        <w:t>actual pilot user (not code defaults) — the same path RLS uses.</w:t>
      </w:r>
    </w:p>
    <w:p>
      <w:pPr>
        <w:pStyle w:val="ListBullet"/>
      </w:pPr>
      <w:r>
        <w:rPr>
          <w:b/>
        </w:rPr>
        <w:t>Direct-URL enforcement:</w:t>
      </w:r>
      <w:r>
        <w:t xml:space="preserve"> Cash Box (</w:t>
      </w:r>
      <w:r>
        <w:rPr>
          <w:rFonts w:ascii="Consolas" w:hAnsi="Consolas"/>
          <w:sz w:val="19"/>
        </w:rPr>
        <w:t>/cashbox</w:t>
      </w:r>
      <w:r>
        <w:t>) page + all three actions call</w:t>
      </w:r>
    </w:p>
    <w:p>
      <w:r>
        <w:rPr>
          <w:rFonts w:ascii="Consolas" w:hAnsi="Consolas"/>
          <w:sz w:val="19"/>
        </w:rPr>
        <w:t>requirePermission('treasury.manage')</w:t>
      </w:r>
      <w:r>
        <w:t>; Sales Rep &amp; Supervisor are blocked at the</w:t>
      </w:r>
    </w:p>
    <w:p>
      <w:r>
        <w:t>guard, not merely nav-hidden.</w:t>
      </w:r>
    </w:p>
    <w:p>
      <w:pPr>
        <w:pStyle w:val="ListBullet"/>
      </w:pPr>
      <w:r>
        <w:rPr>
          <w:b/>
        </w:rPr>
        <w:t>Tests:</w:t>
      </w:r>
      <w:r>
        <w:t xml:space="preserve"> new SoD regression guards in </w:t>
      </w:r>
      <w:r>
        <w:rPr>
          <w:rFonts w:ascii="Consolas" w:hAnsi="Consolas"/>
          <w:sz w:val="19"/>
        </w:rPr>
        <w:t>mj1-posting-permissions.test.ts</w:t>
      </w:r>
    </w:p>
    <w:p>
      <w:r>
        <w:t>(reverse = accounting.post; cash box excludes rep+supervisor; settlement =</w:t>
      </w:r>
    </w:p>
    <w:p>
      <w:r>
        <w:t xml:space="preserve">cashier/accountant/admin only) and </w:t>
      </w:r>
      <w:r>
        <w:rPr>
          <w:rFonts w:ascii="Consolas" w:hAnsi="Consolas"/>
          <w:sz w:val="19"/>
        </w:rPr>
        <w:t>permissions.test.ts</w:t>
      </w:r>
      <w:r>
        <w:t xml:space="preserve"> (supervisor approver-only).</w:t>
      </w:r>
    </w:p>
    <w:p>
      <w:r>
        <w:t xml:space="preserve">Full suite: </w:t>
      </w:r>
      <w:r>
        <w:rPr>
          <w:b/>
        </w:rPr>
        <w:t>1540 passed, 0 failed</w:t>
      </w:r>
      <w:r>
        <w:t>.</w:t>
      </w:r>
    </w:p>
    <w:p>
      <w:pPr>
        <w:pStyle w:val="Heading2"/>
      </w:pPr>
      <w:r>
        <w:rPr>
          <w:color w:val="1F497D"/>
        </w:rPr>
        <w:t>5. Documented (accepted) enforcement gaps — unchanged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Gap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Disposition</w:t>
            </w:r>
          </w:p>
        </w:tc>
      </w:tr>
      <w:tr>
        <w:tc>
          <w:tcPr>
            <w:tcW w:type="dxa" w:w="2880"/>
          </w:tcPr>
          <w:p>
            <w:r>
              <w:t>V2</w:t>
            </w:r>
          </w:p>
        </w:tc>
        <w:tc>
          <w:tcPr>
            <w:tcW w:type="dxa" w:w="2880"/>
          </w:tcPr>
          <w:p>
            <w:r>
              <w:t>(documented enforcement gap from the implementation audit)</w:t>
            </w:r>
          </w:p>
        </w:tc>
        <w:tc>
          <w:tcPr>
            <w:tcW w:type="dxa" w:w="2880"/>
          </w:tcPr>
          <w:p>
            <w:r>
              <w:t>Post-pilot</w:t>
            </w:r>
          </w:p>
        </w:tc>
      </w:tr>
      <w:tr>
        <w:tc>
          <w:tcPr>
            <w:tcW w:type="dxa" w:w="2880"/>
          </w:tcPr>
          <w:p>
            <w:r>
              <w:t>V3</w:t>
            </w:r>
          </w:p>
        </w:tc>
        <w:tc>
          <w:tcPr>
            <w:tcW w:type="dxa" w:w="2880"/>
          </w:tcPr>
          <w:p>
            <w:r>
              <w:t>(documented enforcement gap from the implementation audit)</w:t>
            </w:r>
          </w:p>
        </w:tc>
        <w:tc>
          <w:tcPr>
            <w:tcW w:type="dxa" w:w="2880"/>
          </w:tcPr>
          <w:p>
            <w:r>
              <w:t>Post-pilot</w:t>
            </w:r>
          </w:p>
        </w:tc>
      </w:tr>
    </w:tbl>
    <w:p/>
    <w:p>
      <w:r>
        <w:t>These remain documented known gaps, accepted for the pilot, to be addressed post-pilot.</w:t>
      </w:r>
    </w:p>
    <w:p>
      <w:pPr>
        <w:pStyle w:val="Heading2"/>
      </w:pPr>
      <w:r>
        <w:rPr>
          <w:color w:val="1F497D"/>
        </w:rPr>
        <w:t>6. Open operational items (not blocking certification)</w:t>
      </w:r>
    </w:p>
    <w:p>
      <w:pPr>
        <w:pStyle w:val="ListNumber"/>
      </w:pPr>
      <w:r>
        <w:rPr>
          <w:b/>
        </w:rPr>
        <w:t>Migration number clash `0265`</w:t>
      </w:r>
      <w:r>
        <w:t xml:space="preserve"> on </w:t>
      </w:r>
      <w:r>
        <w:rPr>
          <w:rFonts w:ascii="Consolas" w:hAnsi="Consolas"/>
          <w:sz w:val="19"/>
        </w:rPr>
        <w:t>main</w:t>
      </w:r>
      <w:r>
        <w:t xml:space="preserve"> (</w:t>
      </w:r>
      <w:r>
        <w:rPr>
          <w:rFonts w:ascii="Consolas" w:hAnsi="Consolas"/>
          <w:sz w:val="19"/>
        </w:rPr>
        <w:t>0265_entitlements_company_feature_writes</w:t>
      </w:r>
    </w:p>
    <w:p>
      <w:r>
        <w:t xml:space="preserve">vs </w:t>
      </w:r>
      <w:r>
        <w:rPr>
          <w:rFonts w:ascii="Consolas" w:hAnsi="Consolas"/>
          <w:sz w:val="19"/>
        </w:rPr>
        <w:t>0265_van_sell</w:t>
      </w:r>
      <w:r>
        <w:t>) — live DB unaffected; renumber before a fresh deploy.</w:t>
      </w:r>
    </w:p>
    <w:p>
      <w:pPr>
        <w:pStyle w:val="ListNumber"/>
      </w:pPr>
      <w:r>
        <w:rPr>
          <w:b/>
        </w:rPr>
        <w:t>Branch cleanup</w:t>
      </w:r>
      <w:r>
        <w:t xml:space="preserve"> — review package delivered; 47 delete candidates + 231 archive</w:t>
      </w:r>
    </w:p>
    <w:p>
      <w:r>
        <w:t>candidates await your approval. Nothing deleted/archived yet.</w:t>
      </w:r>
    </w:p>
    <w:p>
      <w:pPr>
        <w:pStyle w:val="ListNumber"/>
      </w:pPr>
      <w:r>
        <w:rPr>
          <w:b/>
        </w:rPr>
        <w:t>#310 residual</w:t>
      </w:r>
      <w:r>
        <w:t xml:space="preserve"> — </w:t>
      </w:r>
      <w:r>
        <w:rPr>
          <w:rFonts w:ascii="Consolas" w:hAnsi="Consolas"/>
          <w:sz w:val="19"/>
        </w:rPr>
        <w:t>customer-data-update/actions.ts</w:t>
      </w:r>
      <w:r>
        <w:t xml:space="preserve"> + 2 readiness docx remain only</w:t>
      </w:r>
    </w:p>
    <w:p>
      <w:r>
        <w:t xml:space="preserve">on </w:t>
      </w:r>
      <w:r>
        <w:rPr>
          <w:rFonts w:ascii="Consolas" w:hAnsi="Consolas"/>
          <w:sz w:val="19"/>
        </w:rPr>
        <w:t>form-builder-engine</w:t>
      </w:r>
      <w:r>
        <w:t>; fold-in or archive decision pending.</w:t>
      </w:r>
    </w:p>
    <w:p>
      <w:pPr>
        <w:pStyle w:val="Heading2"/>
      </w:pPr>
      <w:r>
        <w:rPr>
          <w:color w:val="1F497D"/>
        </w:rPr>
        <w:t>Certification statement</w:t>
      </w:r>
    </w:p>
    <w:p>
      <w:r>
        <w:t xml:space="preserve">The pilot role &amp; permission model — across </w:t>
      </w:r>
      <w:r>
        <w:rPr>
          <w:b/>
        </w:rPr>
        <w:t>9 roles</w:t>
      </w:r>
      <w:r>
        <w:t xml:space="preserve"> and the core sell / collect /</w:t>
      </w:r>
    </w:p>
    <w:p>
      <w:r>
        <w:t>reverse / treasury / settlement / reconciliation / approval / audit capabilities — is</w:t>
      </w:r>
    </w:p>
    <w:p>
      <w:r>
        <w:t>**internally consistent, segregation-of-duties compliant, runtime-verified, and</w:t>
      </w:r>
    </w:p>
    <w:p>
      <w:r>
        <w:t>test-locked</w:t>
      </w:r>
      <w:r>
        <w:rPr>
          <w:b/>
        </w:rPr>
        <w:t xml:space="preserve">. </w:t>
      </w:r>
      <w:r>
        <w:t>Certified GO for continued pilot operation.**</w:t>
      </w:r>
    </w:p>
    <w:p>
      <w:r>
        <w:t>Environment, branch, deployment, and database are aligned (vantora-staging via the</w:t>
      </w:r>
    </w:p>
    <w:p>
      <w:r>
        <w:rPr>
          <w:rFonts w:ascii="Consolas" w:hAnsi="Consolas"/>
          <w:sz w:val="19"/>
        </w:rPr>
        <w:t>fmcg-sell-collect-loop</w:t>
      </w:r>
      <w:r>
        <w:t xml:space="preserve"> line, now merged to </w:t>
      </w:r>
      <w:r>
        <w:rPr>
          <w:rFonts w:ascii="Consolas" w:hAnsi="Consolas"/>
          <w:sz w:val="19"/>
        </w:rPr>
        <w:t>main</w:t>
      </w:r>
      <w:r>
        <w:t>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