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VANTORA — Constitution Completeness Report</w:t>
      </w:r>
    </w:p>
    <w:p>
      <w:pPr>
        <w:pStyle w:val="IntenseQuote"/>
      </w:pPr>
      <w:r>
        <w:rPr>
          <w:b/>
        </w:rPr>
        <w:t>Method.</w:t>
      </w:r>
      <w:r>
        <w:t xml:space="preserve"> Scores the </w:t>
      </w:r>
      <w:r>
        <w:rPr>
          <w:b/>
        </w:rPr>
        <w:t>current repository</w:t>
      </w:r>
      <w:r>
        <w:t xml:space="preserve"> against the </w:t>
      </w:r>
      <w:r>
        <w:rPr>
          <w:b/>
        </w:rPr>
        <w:t>VANTORA Constitution v1</w:t>
      </w:r>
      <w:r>
        <w:t xml:space="preserve"> (the</w:t>
      </w:r>
    </w:p>
    <w:p>
      <w:pPr>
        <w:pStyle w:val="IntenseQuote"/>
      </w:pPr>
      <w:r>
        <w:t>authority). Each area is 0–100% = "how much of the Constitution's intent for that OS exists in</w:t>
      </w:r>
    </w:p>
    <w:p>
      <w:pPr>
        <w:pStyle w:val="IntenseQuote"/>
      </w:pPr>
      <w:r>
        <w:t>the repo today," derived from VANTORA_MASTER_AUDIT.md, IMPLEMENTATION_BACKLOG.md,</w:t>
      </w:r>
    </w:p>
    <w:p>
      <w:pPr>
        <w:pStyle w:val="IntenseQuote"/>
      </w:pPr>
      <w:r>
        <w:t xml:space="preserve">SCREEN_ARCHITECTURE.md, and DATABASE_BLUEPRINT.md. Scores are </w:t>
      </w:r>
      <w:r>
        <w:rPr>
          <w:b/>
        </w:rPr>
        <w:t>assessments</w:t>
      </w:r>
      <w:r>
        <w:t>, not measured</w:t>
      </w:r>
    </w:p>
    <w:p>
      <w:pPr>
        <w:pStyle w:val="IntenseQuote"/>
      </w:pPr>
      <w:r>
        <w:t>guarantees. This compares; it does not redesign.</w:t>
      </w:r>
    </w:p>
    <w:p>
      <w:pPr>
        <w:pStyle w:val="Heading1"/>
      </w:pPr>
      <w:r>
        <w:t>Area Scores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Area (Constitution)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Basis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Platform</w:t>
            </w:r>
            <w:r>
              <w:t xml:space="preserve"> (Art. 13)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70%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companies/plans/modules/roles/feature-flags exist; subscription metering + marketplace control thin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Security</w:t>
            </w:r>
            <w:r>
              <w:t xml:space="preserve"> (Art. 14)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70%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auth/authz/RLS strong; MFA/SSO/device/session-dashboard missing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Master Data</w:t>
            </w:r>
            <w:r>
              <w:t xml:space="preserve"> (Art. 15)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75%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customer/product/supplier/warehouse strong; employee/asset/vehicle masters missing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Workflow</w:t>
            </w:r>
            <w:r>
              <w:t xml:space="preserve"> (Art. 32)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40%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3 entity handlers + approval inbox; no builder/rule/SLA/escalation engine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Analytics</w:t>
            </w:r>
            <w:r>
              <w:t xml:space="preserve"> (Art. 33)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35%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per-module report screens; no KPI/report builder, forecast, registry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SmartSync</w:t>
            </w:r>
            <w:r>
              <w:t xml:space="preserve"> (Art. 34)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85%</w:t>
            </w:r>
          </w:p>
        </w:tc>
        <w:tc>
          <w:tcPr>
            <w:tcW w:type="dxa" w:w="1728"/>
          </w:tcPr>
          <w:p>
            <w:r/>
            <w:r>
              <w:t>EXISTS (flag-off)</w:t>
            </w:r>
          </w:p>
        </w:tc>
        <w:tc>
          <w:tcPr>
            <w:tcW w:type="dxa" w:w="1728"/>
          </w:tcPr>
          <w:p>
            <w:r/>
            <w:r>
              <w:t>engine/reconcile/impersonation/console built + branch-validated; prod cutover + blob outbox pending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CRM</w:t>
            </w:r>
            <w:r>
              <w:t xml:space="preserve"> (Art. 22)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70%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customer 360/activities/credit; leads/opportunities/health-engine missing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Commercial</w:t>
            </w:r>
            <w:r>
              <w:t xml:space="preserve"> (Art. 23)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80%</w:t>
            </w:r>
          </w:p>
        </w:tc>
        <w:tc>
          <w:tcPr>
            <w:tcW w:type="dxa" w:w="1728"/>
          </w:tcPr>
          <w:p>
            <w:r/>
            <w:r>
              <w:t>EXISTS</w:t>
            </w:r>
          </w:p>
        </w:tc>
        <w:tc>
          <w:tcPr>
            <w:tcW w:type="dxa" w:w="1728"/>
          </w:tcPr>
          <w:p>
            <w:r/>
            <w:r>
              <w:t>orders/invoices/returns/pricing/POS; quotations + trade-spend UI thin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Inventory</w:t>
            </w:r>
            <w:r>
              <w:t xml:space="preserve"> (Art. 24)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82%</w:t>
            </w:r>
          </w:p>
        </w:tc>
        <w:tc>
          <w:tcPr>
            <w:tcW w:type="dxa" w:w="1728"/>
          </w:tcPr>
          <w:p>
            <w:r/>
            <w:r>
              <w:t>EXISTS</w:t>
            </w:r>
          </w:p>
        </w:tc>
        <w:tc>
          <w:tcPr>
            <w:tcW w:type="dxa" w:w="1728"/>
          </w:tcPr>
          <w:p>
            <w:r/>
            <w:r>
              <w:t>stock/movements/counts/transfers/expiry/van; bins + uniform lot/serial gaps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Finance</w:t>
            </w:r>
            <w:r>
              <w:t xml:space="preserve"> (Art. 25)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60%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auto journal/AR/aging strong; manual GL/statements/period-close/banking/budgets missing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HR</w:t>
            </w:r>
            <w:r>
              <w:t xml:space="preserve"> (Art. 26)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10%</w:t>
            </w:r>
          </w:p>
        </w:tc>
        <w:tc>
          <w:tcPr>
            <w:tcW w:type="dxa" w:w="1728"/>
          </w:tcPr>
          <w:p>
            <w:r/>
            <w:r>
              <w:t>MISSING</w:t>
            </w:r>
          </w:p>
        </w:tc>
        <w:tc>
          <w:tcPr>
            <w:tcW w:type="dxa" w:w="1728"/>
          </w:tcPr>
          <w:p>
            <w:r/>
            <w:r>
              <w:t>only profiles + user-branches; no HR module/tables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Procurement</w:t>
            </w:r>
            <w:r>
              <w:t xml:space="preserve"> (Art. 27)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55%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PO/receiving/returns/suppliers; PR/RFQ/vendor-eval/contracts missing</w:t>
            </w:r>
          </w:p>
        </w:tc>
      </w:tr>
      <w:tr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Asset &amp; Fleet</w:t>
            </w:r>
            <w:r>
              <w:t xml:space="preserve"> (Art. 28)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5%</w:t>
            </w:r>
          </w:p>
        </w:tc>
        <w:tc>
          <w:tcPr>
            <w:tcW w:type="dxa" w:w="1728"/>
          </w:tcPr>
          <w:p>
            <w:r/>
            <w:r>
              <w:t>MISSING</w:t>
            </w:r>
          </w:p>
        </w:tc>
        <w:tc>
          <w:tcPr>
            <w:tcW w:type="dxa" w:w="1728"/>
          </w:tcPr>
          <w:p>
            <w:r/>
            <w:r>
              <w:t>no asset/vehicle tables or module</w:t>
            </w:r>
          </w:p>
        </w:tc>
      </w:tr>
      <w:tr>
        <w:tc>
          <w:tcPr>
            <w:tcW w:type="dxa" w:w="1728"/>
          </w:tcPr>
          <w:p>
            <w:r/>
            <w:r>
              <w:t>14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Service</w:t>
            </w:r>
            <w:r>
              <w:t xml:space="preserve"> (Art. 29)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15%</w:t>
            </w:r>
          </w:p>
        </w:tc>
        <w:tc>
          <w:tcPr>
            <w:tcW w:type="dxa" w:w="1728"/>
          </w:tcPr>
          <w:p>
            <w:r/>
            <w:r>
              <w:t>MISSING</w:t>
            </w:r>
          </w:p>
        </w:tc>
        <w:tc>
          <w:tcPr>
            <w:tcW w:type="dxa" w:w="1728"/>
          </w:tcPr>
          <w:p>
            <w:r/>
            <w:r>
              <w:t>generic ticket/SLA/KB absent (vertical tickets only)</w:t>
            </w:r>
          </w:p>
        </w:tc>
      </w:tr>
      <w:tr>
        <w:tc>
          <w:tcPr>
            <w:tcW w:type="dxa" w:w="1728"/>
          </w:tcPr>
          <w:p>
            <w:r/>
            <w:r>
              <w:t>15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Projects</w:t>
            </w:r>
            <w:r>
              <w:t xml:space="preserve"> (Art. 30)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5%</w:t>
            </w:r>
          </w:p>
        </w:tc>
        <w:tc>
          <w:tcPr>
            <w:tcW w:type="dxa" w:w="1728"/>
          </w:tcPr>
          <w:p>
            <w:r/>
            <w:r>
              <w:t>MISSING</w:t>
            </w:r>
          </w:p>
        </w:tc>
        <w:tc>
          <w:tcPr>
            <w:tcW w:type="dxa" w:w="1728"/>
          </w:tcPr>
          <w:p>
            <w:r/>
            <w:r>
              <w:t>none</w:t>
            </w:r>
          </w:p>
        </w:tc>
      </w:tr>
      <w:tr>
        <w:tc>
          <w:tcPr>
            <w:tcW w:type="dxa" w:w="1728"/>
          </w:tcPr>
          <w:p>
            <w:r/>
            <w:r>
              <w:t>16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Documents</w:t>
            </w:r>
            <w:r>
              <w:t xml:space="preserve"> (Art. 18)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30%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attachments only; no versioning/OCR/workflow/dashboard</w:t>
            </w:r>
          </w:p>
        </w:tc>
      </w:tr>
      <w:tr>
        <w:tc>
          <w:tcPr>
            <w:tcW w:type="dxa" w:w="1728"/>
          </w:tcPr>
          <w:p>
            <w:r/>
            <w:r>
              <w:t>17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Governance</w:t>
            </w:r>
            <w:r>
              <w:t xml:space="preserve"> (Art. 31)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10%</w:t>
            </w:r>
          </w:p>
        </w:tc>
        <w:tc>
          <w:tcPr>
            <w:tcW w:type="dxa" w:w="1728"/>
          </w:tcPr>
          <w:p>
            <w:r/>
            <w:r>
              <w:t>MISSING</w:t>
            </w:r>
          </w:p>
        </w:tc>
        <w:tc>
          <w:tcPr>
            <w:tcW w:type="dxa" w:w="1728"/>
          </w:tcPr>
          <w:p>
            <w:r/>
            <w:r>
              <w:t>audit primitives only; no policy/risk/internal-audit</w:t>
            </w:r>
          </w:p>
        </w:tc>
      </w:tr>
      <w:tr>
        <w:tc>
          <w:tcPr>
            <w:tcW w:type="dxa" w:w="1728"/>
          </w:tcPr>
          <w:p>
            <w:r/>
            <w:r>
              <w:t>18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Marketplace</w:t>
            </w:r>
            <w:r>
              <w:t xml:space="preserve"> (Art. 37)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20%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entitlement plumbing; no install/publish lifecycle</w:t>
            </w:r>
          </w:p>
        </w:tc>
      </w:tr>
      <w:tr>
        <w:tc>
          <w:tcPr>
            <w:tcW w:type="dxa" w:w="1728"/>
          </w:tcPr>
          <w:p>
            <w:r/>
            <w:r>
              <w:t>19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AI</w:t>
            </w:r>
            <w:r>
              <w:t xml:space="preserve"> (Art. 36)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25%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copilot next-best-actions; no forecast/recommendation/governance engines</w:t>
            </w:r>
          </w:p>
        </w:tc>
      </w:tr>
      <w:tr>
        <w:tc>
          <w:tcPr>
            <w:tcW w:type="dxa" w:w="1728"/>
          </w:tcPr>
          <w:p>
            <w:r/>
            <w:r>
              <w:t>20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Integrations</w:t>
            </w:r>
            <w:r>
              <w:t xml:space="preserve"> (Art. 35)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80%</w:t>
            </w:r>
          </w:p>
        </w:tc>
        <w:tc>
          <w:tcPr>
            <w:tcW w:type="dxa" w:w="1728"/>
          </w:tcPr>
          <w:p>
            <w:r/>
            <w:r>
              <w:t>EXISTS</w:t>
            </w:r>
          </w:p>
        </w:tc>
        <w:tc>
          <w:tcPr>
            <w:tcW w:type="dxa" w:w="1728"/>
          </w:tcPr>
          <w:p>
            <w:r/>
            <w:r>
              <w:t>6 connectors + cron + webhooks + API keys + /api/v1; event monitor/replay thin</w:t>
            </w:r>
          </w:p>
        </w:tc>
      </w:tr>
    </w:tbl>
    <w:p/>
    <w:p>
      <w:pPr>
        <w:pStyle w:val="Heading2"/>
      </w:pPr>
      <w:r>
        <w:t>Supporting backbone (not in the 20 but Constitution-mandated)</w:t>
      </w:r>
    </w:p>
    <w:p>
      <w:r>
        <w:t xml:space="preserve">Notification OS </w:t>
      </w:r>
      <w:r>
        <w:rPr>
          <w:b/>
        </w:rPr>
        <w:t>35%</w:t>
      </w:r>
      <w:r>
        <w:t xml:space="preserve"> · Search OS </w:t>
      </w:r>
      <w:r>
        <w:rPr>
          <w:b/>
        </w:rPr>
        <w:t>10%</w:t>
      </w:r>
      <w:r>
        <w:t xml:space="preserve"> · Backup/Recovery </w:t>
      </w:r>
      <w:r>
        <w:rPr>
          <w:b/>
        </w:rPr>
        <w:t>55%</w:t>
      </w:r>
      <w:r>
        <w:t xml:space="preserve"> · Localization </w:t>
      </w:r>
      <w:r>
        <w:rPr>
          <w:b/>
        </w:rPr>
        <w:t>55%</w:t>
      </w:r>
      <w:r>
        <w:t xml:space="preserve"> ·</w:t>
      </w:r>
    </w:p>
    <w:p>
      <w:r>
        <w:t xml:space="preserve">Developer/Extension </w:t>
      </w:r>
      <w:r>
        <w:rPr>
          <w:b/>
        </w:rPr>
        <w:t>40%</w:t>
      </w:r>
      <w:r>
        <w:t xml:space="preserve"> · Event Bus (Art. 43) </w:t>
      </w:r>
      <w:r>
        <w:rPr>
          <w:b/>
        </w:rPr>
        <w:t>5%</w:t>
      </w:r>
      <w:r>
        <w:t>.</w:t>
      </w:r>
    </w:p>
    <w:p>
      <w:pPr>
        <w:pStyle w:val="Heading1"/>
      </w:pPr>
      <w:r>
        <w:t>Overall Platform Score</w:t>
      </w:r>
    </w:p>
    <w:p>
      <w:r>
        <w:rPr>
          <w:b/>
        </w:rPr>
        <w:t>≈ 58% against the full Constitution v1</w:t>
      </w:r>
      <w:r>
        <w:t xml:space="preserve"> _(assessment)_.</w:t>
      </w:r>
    </w:p>
    <w:p>
      <w:pPr>
        <w:pStyle w:val="ListBullet"/>
      </w:pPr>
      <w:r>
        <w:rPr>
          <w:b/>
        </w:rPr>
        <w:t>Weighting note:</w:t>
      </w:r>
      <w:r>
        <w:t xml:space="preserve"> the Constitution is deliberately expansive (≈30 operating systems + 20</w:t>
      </w:r>
    </w:p>
    <w:p>
      <w:r>
        <w:t xml:space="preserve">  industry packs). The repo is </w:t>
      </w:r>
      <w:r>
        <w:rPr>
          <w:b/>
        </w:rPr>
        <w:t>strong on the operational core</w:t>
      </w:r>
      <w:r>
        <w:t xml:space="preserve"> (Commercial 80 / Inventory 82 /</w:t>
      </w:r>
    </w:p>
    <w:p>
      <w:r>
        <w:t xml:space="preserve">  Integrations 80 / Master Data 75 / SmartSync 85) and </w:t>
      </w:r>
      <w:r>
        <w:rPr>
          <w:b/>
        </w:rPr>
        <w:t>8 working verticals</w:t>
      </w:r>
      <w:r>
        <w:t>, but **light on the</w:t>
      </w:r>
    </w:p>
    <w:p>
      <w:r>
        <w:t xml:space="preserve">  enterprise breadth** (HR, Asset/Fleet, Service, Projects, Governance, Analytics/Workflow engines).</w:t>
      </w:r>
    </w:p>
    <w:p>
      <w:pPr>
        <w:pStyle w:val="ListBullet"/>
      </w:pPr>
      <w:r>
        <w:rPr>
          <w:b/>
        </w:rPr>
        <w:t>Core-only score</w:t>
      </w:r>
      <w:r>
        <w:t xml:space="preserve"> (Platform, Security, Master Data, Commercial, Inventory, Finance, SmartSync,</w:t>
      </w:r>
    </w:p>
    <w:p>
      <w:r>
        <w:t xml:space="preserve">  Integrations, the working verticals): </w:t>
      </w:r>
      <w:r>
        <w:rPr>
          <w:b/>
        </w:rPr>
        <w:t>≈ 75%</w:t>
      </w:r>
      <w:r>
        <w:t xml:space="preserve"> — i.e., the part you can sell today is solid;</w:t>
      </w:r>
    </w:p>
    <w:p>
      <w:r>
        <w:t xml:space="preserve">  the full-platform vision is ~58% realized.</w:t>
      </w:r>
    </w:p>
    <w:p>
      <w:pPr>
        <w:pStyle w:val="Heading1"/>
      </w:pPr>
      <w:r>
        <w:t>Top 10 CRITICAL Gaps (P0 — block confident core GA / Constitution compliance)</w:t>
      </w:r>
    </w:p>
    <w:p>
      <w:pPr>
        <w:pStyle w:val="ListNumber"/>
      </w:pPr>
      <w:r>
        <w:rPr>
          <w:b/>
        </w:rPr>
        <w:t>Finance OS depth</w:t>
      </w:r>
      <w:r>
        <w:t xml:space="preserve"> — manual GL entry, period close, P&amp;L/BS/CF statements (Art. 25; GL is post-facto only).</w:t>
      </w:r>
    </w:p>
    <w:p>
      <w:pPr>
        <w:pStyle w:val="ListNumber"/>
      </w:pPr>
      <w:r>
        <w:rPr>
          <w:b/>
        </w:rPr>
        <w:t>Workflow OS engine + builder</w:t>
      </w:r>
      <w:r>
        <w:t xml:space="preserve"> — generic trigger/condition/action/SLA/escalation (Art. 32; only 3 hardcoded handlers → borderline Art. 03 "no hardcoded workflows").</w:t>
      </w:r>
    </w:p>
    <w:p>
      <w:pPr>
        <w:pStyle w:val="ListNumber"/>
      </w:pPr>
      <w:r>
        <w:rPr>
          <w:b/>
        </w:rPr>
        <w:t>Analytics OS unified engine</w:t>
      </w:r>
      <w:r>
        <w:t xml:space="preserve"> — KPI/report/dashboard/forecast registry (Art. 33; reporting is per-module → Art. 33 "no isolated reporting").</w:t>
      </w:r>
    </w:p>
    <w:p>
      <w:pPr>
        <w:pStyle w:val="ListNumber"/>
      </w:pPr>
      <w:r>
        <w:rPr>
          <w:b/>
        </w:rPr>
        <w:t>SmartSync production cutover</w:t>
      </w:r>
      <w:r>
        <w:t xml:space="preserve"> — flag on + migrations 0001–0005 + real-browser &amp; multi-process soak (Art. 34).</w:t>
      </w:r>
    </w:p>
    <w:p>
      <w:pPr>
        <w:pStyle w:val="ListNumber"/>
      </w:pPr>
      <w:r>
        <w:rPr>
          <w:b/>
        </w:rPr>
        <w:t>Audit consolidation</w:t>
      </w:r>
      <w:r>
        <w:t xml:space="preserve"> — single canonical audit table; guarantee coverage on all financial mutations (Art. 41/03).</w:t>
      </w:r>
    </w:p>
    <w:p>
      <w:pPr>
        <w:pStyle w:val="ListNumber"/>
      </w:pPr>
      <w:r>
        <w:rPr>
          <w:b/>
        </w:rPr>
        <w:t>Event bus</w:t>
      </w:r>
      <w:r>
        <w:t xml:space="preserve"> — domain events feeding workflow/analytics/AI/integration (Art. 43; currently none).</w:t>
      </w:r>
    </w:p>
    <w:p>
      <w:pPr>
        <w:pStyle w:val="ListNumber"/>
      </w:pPr>
      <w:r>
        <w:rPr>
          <w:b/>
        </w:rPr>
        <w:t>Notification OS</w:t>
      </w:r>
      <w:r>
        <w:t xml:space="preserve"> — multi-channel + templates + queue + delivery (Art. 16; in-app only → Art. 03 "no hardcoded emails").</w:t>
      </w:r>
    </w:p>
    <w:p>
      <w:pPr>
        <w:pStyle w:val="ListNumber"/>
      </w:pPr>
      <w:r>
        <w:rPr>
          <w:b/>
        </w:rPr>
        <w:t>Role Designer + full Role×Screen×Action×Scope matrix</w:t>
      </w:r>
      <w:r>
        <w:t xml:space="preserve"> (Art. 39; partial).</w:t>
      </w:r>
    </w:p>
    <w:p>
      <w:pPr>
        <w:pStyle w:val="ListNumber"/>
      </w:pPr>
      <w:r>
        <w:rPr>
          <w:b/>
        </w:rPr>
        <w:t>Master Data: Employee/Asset/Vehicle entities</w:t>
      </w:r>
      <w:r>
        <w:t xml:space="preserve"> — prerequisites for HR/Asset OS (Art. 15).</w:t>
      </w:r>
    </w:p>
    <w:p>
      <w:pPr>
        <w:pStyle w:val="ListNumber"/>
      </w:pPr>
      <w:r>
        <w:rPr>
          <w:b/>
        </w:rPr>
        <w:t>Security hardening</w:t>
      </w:r>
      <w:r>
        <w:t xml:space="preserve"> — MFA, sessions/devices, auth rate-limiting (Art. 14).</w:t>
      </w:r>
    </w:p>
    <w:p>
      <w:pPr>
        <w:pStyle w:val="Heading1"/>
      </w:pPr>
      <w:r>
        <w:t>Top 10 IMPORTANT Gaps (P1)</w:t>
      </w:r>
    </w:p>
    <w:p>
      <w:pPr>
        <w:pStyle w:val="ListNumber"/>
      </w:pPr>
      <w:r>
        <w:rPr>
          <w:b/>
        </w:rPr>
        <w:t>HR &amp; People OS</w:t>
      </w:r>
      <w:r>
        <w:t xml:space="preserve"> (Art. 26) — full module + tables.</w:t>
      </w:r>
    </w:p>
    <w:p>
      <w:pPr>
        <w:pStyle w:val="ListNumber"/>
      </w:pPr>
      <w:r>
        <w:rPr>
          <w:b/>
        </w:rPr>
        <w:t>Asset &amp; Fleet OS</w:t>
      </w:r>
      <w:r>
        <w:t xml:space="preserve"> (Art. 28) — full module + tables.</w:t>
      </w:r>
    </w:p>
    <w:p>
      <w:pPr>
        <w:pStyle w:val="ListNumber"/>
      </w:pPr>
      <w:r>
        <w:rPr>
          <w:b/>
        </w:rPr>
        <w:t>Procurement</w:t>
      </w:r>
      <w:r>
        <w:t xml:space="preserve"> — PR → RFQ → comparison → vendor evaluation → contracts (Art. 27).</w:t>
      </w:r>
    </w:p>
    <w:p>
      <w:pPr>
        <w:pStyle w:val="ListNumber"/>
      </w:pPr>
      <w:r>
        <w:rPr>
          <w:b/>
        </w:rPr>
        <w:t>SmartSync offline binary/photo outbox</w:t>
      </w:r>
      <w:r>
        <w:t xml:space="preserve"> + reconcile handlers for visits/surveys (Art. 34).</w:t>
      </w:r>
    </w:p>
    <w:p>
      <w:pPr>
        <w:pStyle w:val="ListNumber"/>
      </w:pPr>
      <w:r>
        <w:rPr>
          <w:b/>
        </w:rPr>
        <w:t>CRM leads/opportunities + health-score engine</w:t>
      </w:r>
      <w:r>
        <w:t xml:space="preserve"> (Art. 22).</w:t>
      </w:r>
    </w:p>
    <w:p>
      <w:pPr>
        <w:pStyle w:val="ListNumber"/>
      </w:pPr>
      <w:r>
        <w:rPr>
          <w:b/>
        </w:rPr>
        <w:t>Commercial quotations + trade-spend console</w:t>
      </w:r>
      <w:r>
        <w:t xml:space="preserve"> (Art. 23; verify ts_*).</w:t>
      </w:r>
    </w:p>
    <w:p>
      <w:pPr>
        <w:pStyle w:val="ListNumber"/>
      </w:pPr>
      <w:r>
        <w:rPr>
          <w:b/>
        </w:rPr>
        <w:t>Document OS versioning/workflow</w:t>
      </w:r>
      <w:r>
        <w:t xml:space="preserve"> atop attachments (Art. 18).</w:t>
      </w:r>
    </w:p>
    <w:p>
      <w:pPr>
        <w:pStyle w:val="ListNumber"/>
      </w:pPr>
      <w:r>
        <w:rPr>
          <w:b/>
        </w:rPr>
        <w:t>Integration event monitor + replay</w:t>
      </w:r>
      <w:r>
        <w:t xml:space="preserve"> (Art. 35).</w:t>
      </w:r>
    </w:p>
    <w:p>
      <w:pPr>
        <w:pStyle w:val="ListNumber"/>
      </w:pPr>
      <w:r>
        <w:rPr>
          <w:b/>
        </w:rPr>
        <w:t>Localization: ZATCA + multi-currency/exchange</w:t>
      </w:r>
      <w:r>
        <w:t xml:space="preserve"> (Art. 20).</w:t>
      </w:r>
    </w:p>
    <w:p>
      <w:pPr>
        <w:pStyle w:val="ListNumber"/>
      </w:pPr>
      <w:r>
        <w:rPr>
          <w:b/>
        </w:rPr>
        <w:t>Universal Screen Standard shell</w:t>
      </w:r>
      <w:r>
        <w:t xml:space="preserve"> (timeline/comments/AI-insights tabs) (Art. 08).</w:t>
      </w:r>
    </w:p>
    <w:p>
      <w:pPr>
        <w:pStyle w:val="Heading1"/>
      </w:pPr>
      <w:r>
        <w:t>Top 10 NICE-TO-HAVE Improvements (P2/P3)</w:t>
      </w:r>
    </w:p>
    <w:p>
      <w:pPr>
        <w:pStyle w:val="ListNumber"/>
      </w:pPr>
      <w:r>
        <w:rPr>
          <w:b/>
        </w:rPr>
        <w:t>Search OS</w:t>
      </w:r>
      <w:r>
        <w:t xml:space="preserve"> — permission-aware global search (Art. 17).</w:t>
      </w:r>
    </w:p>
    <w:p>
      <w:pPr>
        <w:pStyle w:val="ListNumber"/>
      </w:pPr>
      <w:r>
        <w:rPr>
          <w:b/>
        </w:rPr>
        <w:t>Service OS</w:t>
      </w:r>
      <w:r>
        <w:t xml:space="preserve"> — generic tickets/SLA/KB (Art. 29).</w:t>
      </w:r>
    </w:p>
    <w:p>
      <w:pPr>
        <w:pStyle w:val="ListNumber"/>
      </w:pPr>
      <w:r>
        <w:rPr>
          <w:b/>
        </w:rPr>
        <w:t>Projects OS</w:t>
      </w:r>
      <w:r>
        <w:t xml:space="preserve"> (Art. 30).</w:t>
      </w:r>
    </w:p>
    <w:p>
      <w:pPr>
        <w:pStyle w:val="ListNumber"/>
      </w:pPr>
      <w:r>
        <w:rPr>
          <w:b/>
        </w:rPr>
        <w:t>Governance &amp; Compliance OS</w:t>
      </w:r>
      <w:r>
        <w:t xml:space="preserve"> (Art. 31).</w:t>
      </w:r>
    </w:p>
    <w:p>
      <w:pPr>
        <w:pStyle w:val="ListNumber"/>
      </w:pPr>
      <w:r>
        <w:rPr>
          <w:b/>
        </w:rPr>
        <w:t>AI OS</w:t>
      </w:r>
      <w:r>
        <w:t xml:space="preserve"> — forecast/recommendation/governance engines (Art. 36).</w:t>
      </w:r>
    </w:p>
    <w:p>
      <w:pPr>
        <w:pStyle w:val="ListNumber"/>
      </w:pPr>
      <w:r>
        <w:rPr>
          <w:b/>
        </w:rPr>
        <w:t>Marketplace OS</w:t>
      </w:r>
      <w:r>
        <w:t xml:space="preserve"> — install/publish lifecycle (Art. 37).</w:t>
      </w:r>
    </w:p>
    <w:p>
      <w:pPr>
        <w:pStyle w:val="ListNumber"/>
      </w:pPr>
      <w:r>
        <w:rPr>
          <w:b/>
        </w:rPr>
        <w:t>Developer OS</w:t>
      </w:r>
      <w:r>
        <w:t xml:space="preserve"> — SDK + portal + extension review (Art. 21).</w:t>
      </w:r>
    </w:p>
    <w:p>
      <w:pPr>
        <w:pStyle w:val="ListNumber"/>
      </w:pPr>
      <w:r>
        <w:rPr>
          <w:b/>
        </w:rPr>
        <w:t>Finish/shelve hotel, salon, electrical; build workshop</w:t>
      </w:r>
      <w:r>
        <w:t xml:space="preserve"> (Book 8).</w:t>
      </w:r>
    </w:p>
    <w:p>
      <w:pPr>
        <w:pStyle w:val="ListNumber"/>
      </w:pPr>
      <w:r>
        <w:rPr>
          <w:b/>
        </w:rPr>
        <w:t>Backup restore console + DR metrics</w:t>
      </w:r>
      <w:r>
        <w:t xml:space="preserve"> (Art. 19).</w:t>
      </w:r>
    </w:p>
    <w:p>
      <w:pPr>
        <w:pStyle w:val="ListNumber"/>
      </w:pPr>
      <w:r>
        <w:rPr>
          <w:b/>
        </w:rPr>
        <w:t>Cleanups:</w:t>
      </w:r>
      <w:r>
        <w:t xml:space="preserve"> consolidate duplicate *_targets + audit tables; rename KAKO_*→VANTORA_* flags; remove fmcgw1.ts legacy; cut a GA version off 0.1.0-beta.1.</w:t>
      </w:r>
    </w:p>
    <w:p>
      <w:pPr>
        <w:pStyle w:val="Heading1"/>
      </w:pPr>
      <w:r>
        <w:t>Constitution-Compliance Flags (explicit "violations" to remediate)</w:t>
      </w:r>
    </w:p>
    <w:p>
      <w:r>
        <w:t xml:space="preserve">These are places where the </w:t>
      </w:r>
      <w:r>
        <w:rPr>
          <w:b/>
        </w:rPr>
        <w:t>current repo conflicts with a Constitution rule</w:t>
      </w:r>
      <w:r>
        <w:t xml:space="preserve"> (Art. 03/06):</w:t>
      </w:r>
    </w:p>
    <w:p>
      <w:pPr>
        <w:pStyle w:val="ListBullet"/>
      </w:pPr>
      <w:r>
        <w:rPr>
          <w:b/>
        </w:rPr>
        <w:t>"No hardcoded workflows"</w:t>
      </w:r>
      <w:r>
        <w:t xml:space="preserve"> — workflow handlers are code, not config (Workflow OS gap). → P0.</w:t>
      </w:r>
    </w:p>
    <w:p>
      <w:pPr>
        <w:pStyle w:val="ListBullet"/>
      </w:pPr>
      <w:r>
        <w:rPr>
          <w:b/>
        </w:rPr>
        <w:t>"No isolated reporting logic per OS"</w:t>
      </w:r>
      <w:r>
        <w:t xml:space="preserve"> — analytics live per module. → P0.</w:t>
      </w:r>
    </w:p>
    <w:p>
      <w:pPr>
        <w:pStyle w:val="ListBullet"/>
      </w:pPr>
      <w:r>
        <w:rPr>
          <w:b/>
        </w:rPr>
        <w:t>"No hardcoded emails inside modules"</w:t>
      </w:r>
      <w:r>
        <w:t xml:space="preserve"> — verify notification senders route through a templated engine. → P1.</w:t>
      </w:r>
    </w:p>
    <w:p>
      <w:pPr>
        <w:pStyle w:val="ListBullet"/>
      </w:pPr>
      <w:r>
        <w:rPr>
          <w:b/>
        </w:rPr>
        <w:t>Reserved-vs-built naming</w:t>
      </w:r>
      <w:r>
        <w:t xml:space="preserve"> — flags are KAKO_*; Constitution brand is VANTORA. Cosmetic, not architectural. → P3.</w:t>
      </w:r>
    </w:p>
    <w:p>
      <w:pPr>
        <w:pStyle w:val="ListBullet"/>
      </w:pPr>
      <w:r>
        <w:rPr>
          <w:b/>
        </w:rPr>
        <w:t>Two audit-log tables</w:t>
      </w:r>
      <w:r>
        <w:t xml:space="preserve"> — single-source-of-truth principle. → P0 (debt).</w:t>
      </w:r>
    </w:p>
    <w:p>
      <w:pPr>
        <w:pStyle w:val="IntenseQuote"/>
      </w:pPr>
      <w:r>
        <w:t xml:space="preserve">Everything above is a </w:t>
      </w:r>
      <w:r>
        <w:rPr>
          <w:b/>
        </w:rPr>
        <w:t>comparison of the repository to the Constitution</w:t>
      </w:r>
      <w:r>
        <w:t>. The Constitution</w:t>
      </w:r>
    </w:p>
    <w:p>
      <w:pPr>
        <w:pStyle w:val="IntenseQuote"/>
      </w:pPr>
      <w:r>
        <w:t>remains the authority and is unchanged. Execution order follows the P0→P3 rollup in</w:t>
      </w:r>
    </w:p>
    <w:p>
      <w:pPr>
        <w:pStyle w:val="IntenseQuote"/>
      </w:pPr>
      <w:r>
        <w:t>IMPLEMENTATION_BACKLOG.md §6.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