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Customer Workbench Governance — Completion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Customer Workbench Governance — Completion Review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2026-06-19 · </w:t>
      </w:r>
      <w:r>
        <w:rPr>
          <w:b/>
        </w:rPr>
        <w:t>Status:</w:t>
      </w:r>
      <w:r>
        <w:t xml:space="preserve"> Governance workstream (G1–G7 + G6b + visibility) </w:t>
      </w:r>
      <w:r>
        <w:rPr>
          <w:b/>
        </w:rPr>
        <w:t>complete, validated, pushed.</w:t>
      </w:r>
    </w:p>
    <w:p>
      <w:r>
        <w:t xml:space="preserve">The Customer Workbench governance &amp; visibility enhancements are delivered, reuse-first, one validated commit per phase. No permission-model, RLS, or workflow change; one additive, backward-compatible schema migration (the </w:t>
      </w:r>
      <w:r>
        <w:rPr>
          <w:rFonts w:ascii="Consolas" w:hAnsi="Consolas"/>
          <w:sz w:val="19"/>
        </w:rPr>
        <w:t>request</w:t>
      </w:r>
      <w:r>
        <w:t xml:space="preserve"> access level).</w:t>
      </w:r>
    </w:p>
    <w:p>
      <w:pPr>
        <w:pStyle w:val="Heading2"/>
      </w:pPr>
      <w:r>
        <w:rPr>
          <w:color w:val="1F497D"/>
        </w:rPr>
        <w:t>What shipped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Commit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G1</w:t>
            </w:r>
          </w:p>
        </w:tc>
        <w:tc>
          <w:tcPr>
            <w:tcW w:type="dxa" w:w="2880"/>
          </w:tcPr>
          <w:p>
            <w:r>
              <w:t xml:space="preserve">Read-only Commercial + Territory context on Overview (credit limit · terms · salesman · </w:t>
            </w:r>
            <w:r>
              <w:rPr>
                <w:b/>
              </w:rPr>
              <w:t>supervisor</w:t>
            </w:r>
            <w:r>
              <w:t xml:space="preserve"> · route · region · area · visit day)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df01283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67f1cda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G2</w:t>
            </w:r>
          </w:p>
        </w:tc>
        <w:tc>
          <w:tcPr>
            <w:tcW w:type="dxa" w:w="2880"/>
          </w:tcPr>
          <w:p>
            <w:r>
              <w:t xml:space="preserve">Last Activity summary (last visit · order · invoice · collection · return; order from </w:t>
            </w:r>
            <w:r>
              <w:rPr>
                <w:rFonts w:ascii="Consolas" w:hAnsi="Consolas"/>
                <w:sz w:val="19"/>
              </w:rPr>
              <w:t>erp_sales_orders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7317ca4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G3</w:t>
            </w:r>
          </w:p>
        </w:tc>
        <w:tc>
          <w:tcPr>
            <w:tcW w:type="dxa" w:w="2880"/>
          </w:tcPr>
          <w:p>
            <w:r>
              <w:t xml:space="preserve">Customer Health band + score (Healthy ≥80 / At-Risk 60–79 / Inactive 30–59 / Critical &lt;30), </w:t>
            </w:r>
            <w:r>
              <w:rPr>
                <w:b/>
              </w:rPr>
              <w:t>separate</w:t>
            </w:r>
            <w:r>
              <w:t xml:space="preserve"> from master status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f6f2a00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G4</w:t>
            </w:r>
          </w:p>
        </w:tc>
        <w:tc>
          <w:tcPr>
            <w:tcW w:type="dxa" w:w="2880"/>
          </w:tcPr>
          <w:p>
            <w:r>
              <w:t>Transfer history (prev→new salesman/route/region + reason · date · status)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e1c9b99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G5</w:t>
            </w:r>
          </w:p>
        </w:tc>
        <w:tc>
          <w:tcPr>
            <w:tcW w:type="dxa" w:w="2880"/>
          </w:tcPr>
          <w:p>
            <w:r>
              <w:t>Structured audit envelope (</w:t>
            </w:r>
            <w:r>
              <w:rPr>
                <w:rFonts w:ascii="Consolas" w:hAnsi="Consolas"/>
                <w:sz w:val="19"/>
              </w:rPr>
              <w:t>field/changes old→new · role · reason · requestRef</w:t>
            </w:r>
            <w:r>
              <w:t>) across direct edits + requests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2135ee2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G6</w:t>
            </w:r>
          </w:p>
        </w:tc>
        <w:tc>
          <w:tcPr>
            <w:tcW w:type="dxa" w:w="2880"/>
          </w:tcPr>
          <w:p>
            <w:r>
              <w:t xml:space="preserve">"Request Change" as a first-class, UI-configurable field-access level (additive migration </w:t>
            </w:r>
            <w:r>
              <w:rPr>
                <w:rFonts w:ascii="Consolas" w:hAnsi="Consolas"/>
                <w:sz w:val="19"/>
              </w:rPr>
              <w:t>0348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0639824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G7</w:t>
            </w:r>
          </w:p>
        </w:tc>
        <w:tc>
          <w:tcPr>
            <w:tcW w:type="dxa" w:w="2880"/>
          </w:tcPr>
          <w:p>
            <w:r>
              <w:t xml:space="preserve">End-to-end Request Change lifecycle: </w:t>
            </w:r>
            <w:r>
              <w:rPr>
                <w:b/>
              </w:rPr>
              <w:t>View → Request Change → Approve → Apply → Audit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fbc64df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G6b</w:t>
            </w:r>
          </w:p>
        </w:tc>
        <w:tc>
          <w:tcPr>
            <w:tcW w:type="dxa" w:w="2880"/>
          </w:tcPr>
          <w:p>
            <w:r>
              <w:t>Opt-in "Use Recommended Baseline" template (never auto-applied; overrides win)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e5f0866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Visibility</w:t>
            </w:r>
          </w:p>
        </w:tc>
        <w:tc>
          <w:tcPr>
            <w:tcW w:type="dxa" w:w="2880"/>
          </w:tcPr>
          <w:p>
            <w:r>
              <w:t>Pending change requests shown read-only in Customer 360 (fields · status · requester · date)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e5f0866</w:t>
            </w:r>
          </w:p>
        </w:tc>
      </w:tr>
    </w:tbl>
    <w:p/>
    <w:p>
      <w:pPr>
        <w:pStyle w:val="Heading2"/>
      </w:pPr>
      <w:r>
        <w:rPr>
          <w:color w:val="1F497D"/>
        </w:rPr>
        <w:t>Governance model — final state</w:t>
      </w:r>
    </w:p>
    <w:p>
      <w:pPr>
        <w:pStyle w:val="ListBullet"/>
      </w:pPr>
      <w:r>
        <w:rPr>
          <w:b/>
        </w:rPr>
        <w:t>5 levels:</w:t>
      </w:r>
      <w:r>
        <w:t xml:space="preserve"> Hidden · View · </w:t>
      </w:r>
      <w:r>
        <w:rPr>
          <w:b/>
        </w:rPr>
        <w:t>Request Change</w:t>
      </w:r>
      <w:r>
        <w:t xml:space="preserve"> · Edit · Approve (Approve = workflow capability).</w:t>
      </w:r>
    </w:p>
    <w:p>
      <w:pPr>
        <w:pStyle w:val="ListBullet"/>
      </w:pPr>
      <w:r>
        <w:rPr>
          <w:b/>
        </w:rPr>
        <w:t>Configurable per company × role × field</w:t>
      </w:r>
      <w:r>
        <w:t xml:space="preserve"> via the existing Field Governance UI (</w:t>
      </w:r>
      <w:r>
        <w:rPr>
          <w:rFonts w:ascii="Consolas" w:hAnsi="Consolas"/>
          <w:sz w:val="19"/>
        </w:rPr>
        <w:t>erp_field_access</w:t>
      </w:r>
      <w:r>
        <w:t xml:space="preserve">); the </w:t>
      </w:r>
      <w:r>
        <w:rPr>
          <w:b/>
        </w:rPr>
        <w:t>recommended baseline</w:t>
      </w:r>
      <w:r>
        <w:t xml:space="preserve"> is an opt-in one-click template, and </w:t>
      </w:r>
      <w:r>
        <w:rPr>
          <w:b/>
        </w:rPr>
        <w:t>company overrides are the final authority</w:t>
      </w:r>
      <w:r>
        <w:t>.</w:t>
      </w:r>
    </w:p>
    <w:p>
      <w:pPr>
        <w:pStyle w:val="ListBullet"/>
      </w:pPr>
      <w:r>
        <w:rPr>
          <w:b/>
        </w:rPr>
        <w:t>Admin-lockout</w:t>
      </w:r>
      <w:r>
        <w:t xml:space="preserve"> preserved (admins never below Edit on protected fields).</w:t>
      </w:r>
    </w:p>
    <w:p>
      <w:pPr>
        <w:pStyle w:val="ListBullet"/>
      </w:pPr>
      <w:r>
        <w:rPr>
          <w:b/>
        </w:rPr>
        <w:t>Audit:</w:t>
      </w:r>
      <w:r>
        <w:t xml:space="preserve"> every direct Edit, Request submission, and Approve/Reject + Apply emits the structured envelope.</w:t>
      </w:r>
    </w:p>
    <w:p>
      <w:pPr>
        <w:pStyle w:val="Heading2"/>
      </w:pPr>
      <w:r>
        <w:rPr>
          <w:color w:val="1F497D"/>
        </w:rPr>
        <w:t>Lifecycle (operational)</w:t>
      </w:r>
    </w:p>
    <w:p>
      <w:pPr>
        <w:ind w:left="240"/>
      </w:pPr>
      <w:r>
        <w:rPr>
          <w:rFonts w:ascii="Consolas" w:hAnsi="Consolas"/>
          <w:sz w:val="18"/>
        </w:rPr>
        <w:t>View (read-only)  →  Request Change (Profile panel → erp_customer_change_requests)</w:t>
        <w:br/>
        <w:t xml:space="preserve">   →  Approve (Approvals queue + workflow)  →  Apply (handler writes the change)</w:t>
        <w:br/>
        <w:t xml:space="preserve">   →  Audit (structured envelope at submit + decision/apply)</w:t>
      </w:r>
    </w:p>
    <w:p>
      <w:r>
        <w:t xml:space="preserve">Pending requests are visible read-only in the workbench (transparency, </w:t>
      </w:r>
      <w:r>
        <w:rPr>
          <w:b/>
        </w:rPr>
        <w:t>not</w:t>
      </w:r>
      <w:r>
        <w:t xml:space="preserve"> a second approval screen).</w:t>
      </w:r>
    </w:p>
    <w:p>
      <w:pPr>
        <w:pStyle w:val="Heading2"/>
      </w:pPr>
      <w:r>
        <w:rPr>
          <w:color w:val="1F497D"/>
        </w:rPr>
        <w:t>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tsc --noEmit</w:t>
            </w:r>
          </w:p>
        </w:tc>
        <w:tc>
          <w:tcPr>
            <w:tcW w:type="dxa" w:w="4320"/>
          </w:tcPr>
          <w:p>
            <w:r>
              <w:t>clean (every phase)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vitest run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1616 passed</w:t>
            </w:r>
            <w:r>
              <w:t xml:space="preserve"> / 192 skipped (+ new helper tests across G3/G5/G6)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next build</w:t>
            </w:r>
          </w:p>
        </w:tc>
        <w:tc>
          <w:tcPr>
            <w:tcW w:type="dxa" w:w="4320"/>
          </w:tcPr>
          <w:p>
            <w:r>
              <w:t>success (every phase)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one additive, backward-compatible migration (</w:t>
            </w:r>
            <w:r>
              <w:rPr>
                <w:rFonts w:ascii="Consolas" w:hAnsi="Consolas"/>
                <w:sz w:val="19"/>
              </w:rPr>
              <w:t>0348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request</w:t>
            </w:r>
            <w:r>
              <w:t xml:space="preserve"> enum); no backfill</w:t>
            </w:r>
          </w:p>
        </w:tc>
      </w:tr>
      <w:tr>
        <w:tc>
          <w:tcPr>
            <w:tcW w:type="dxa" w:w="4320"/>
          </w:tcPr>
          <w:p>
            <w:r>
              <w:t>Constraints</w:t>
            </w:r>
          </w:p>
        </w:tc>
        <w:tc>
          <w:tcPr>
            <w:tcW w:type="dxa" w:w="4320"/>
          </w:tcPr>
          <w:p>
            <w:r>
              <w:t>no permission-model / RLS / workflow change</w:t>
            </w:r>
          </w:p>
        </w:tc>
      </w:tr>
    </w:tbl>
    <w:p/>
    <w:p>
      <w:pPr>
        <w:pStyle w:val="Heading2"/>
      </w:pPr>
      <w:r>
        <w:rPr>
          <w:color w:val="1F497D"/>
        </w:rPr>
        <w:t>Deferred / recorded (document-only)</w:t>
      </w:r>
    </w:p>
    <w:p>
      <w:pPr>
        <w:pStyle w:val="ListBullet"/>
      </w:pPr>
      <w:r>
        <w:rPr>
          <w:b/>
        </w:rPr>
        <w:t>G8</w:t>
      </w:r>
      <w:r>
        <w:t xml:space="preserve"> — country-aware Structured Address (design-only).</w:t>
      </w:r>
    </w:p>
    <w:p>
      <w:pPr>
        <w:pStyle w:val="ListBullet"/>
      </w:pPr>
      <w:r>
        <w:rPr>
          <w:b/>
        </w:rPr>
        <w:t>Role Builder &amp; Permission Studio</w:t>
      </w:r>
      <w:r>
        <w:t xml:space="preserve"> — future platform capability on the governance model.</w:t>
      </w:r>
    </w:p>
    <w:p>
      <w:pPr>
        <w:pStyle w:val="ListBullet"/>
      </w:pPr>
      <w:r>
        <w:rPr>
          <w:b/>
        </w:rPr>
        <w:t>Request-level attachments</w:t>
      </w:r>
      <w:r>
        <w:t xml:space="preserve"> (proof docs in object storage, references in DB — no perf impact).</w:t>
      </w:r>
    </w:p>
    <w:p>
      <w:pPr>
        <w:pStyle w:val="ListBullet"/>
      </w:pPr>
      <w:r>
        <w:rPr>
          <w:b/>
        </w:rPr>
        <w:t>Pricing governance</w:t>
      </w:r>
      <w:r>
        <w:t xml:space="preserve"> — separate workstream (per-customer price lists not modelled).</w:t>
      </w:r>
    </w:p>
    <w:p>
      <w:pPr>
        <w:pStyle w:val="ListBullet"/>
      </w:pPr>
      <w:r>
        <w:rPr>
          <w:b/>
        </w:rPr>
        <w:t>Coverage &amp; Journey-Plan engine</w:t>
      </w:r>
      <w:r>
        <w:t xml:space="preserve"> — visit frequency, coverage status, JP adherence, route optimization/balancing.</w:t>
      </w:r>
    </w:p>
    <w:p>
      <w:pPr>
        <w:pStyle w:val="ListBullet"/>
      </w:pPr>
      <w:r>
        <w:rPr>
          <w:b/>
        </w:rPr>
        <w:t>Customer Planning &amp; Targeting</w:t>
      </w:r>
      <w:r>
        <w:t xml:space="preserve"> — separate planning workstream.</w:t>
      </w:r>
    </w:p>
    <w:p>
      <w:pPr>
        <w:pStyle w:val="Heading2"/>
      </w:pPr>
      <w:r>
        <w:rPr>
          <w:color w:val="1F497D"/>
        </w:rPr>
        <w:t>Recommended next workstream</w:t>
      </w:r>
    </w:p>
    <w:p>
      <w:r>
        <w:t xml:space="preserve">With governance + visibility complete, the natural next major workstream is the </w:t>
      </w:r>
      <w:r>
        <w:rPr>
          <w:b/>
        </w:rPr>
        <w:t>Coverage &amp; Journey-Plan engine</w:t>
      </w:r>
      <w:r>
        <w:t xml:space="preserve"> (it owns visit frequency / coverage status that the workbench already reads), or the </w:t>
      </w:r>
      <w:r>
        <w:rPr>
          <w:b/>
        </w:rPr>
        <w:t>Pricing-governance</w:t>
      </w:r>
      <w:r>
        <w:t xml:space="preserve"> workstream (prerequisite for surfacing per-customer pricing). Both are scoped and parked; either can start with the standard audit-first methodology on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