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Go-Live (Coexistence Model)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Go-Live (Coexistence Model): keep the demo, add the real customer</w:t>
      </w:r>
    </w:p>
    <w:p>
      <w:r>
        <w:rPr>
          <w:b/>
        </w:rPr>
        <w:t>Decision (2026-06-10):</w:t>
      </w:r>
      <w:r>
        <w:t xml:space="preserve"> keep </w:t>
      </w:r>
      <w:r>
        <w:rPr>
          <w:b/>
        </w:rPr>
        <w:t>`Nile FMCG (DEMO)`</w:t>
      </w:r>
      <w:r>
        <w:t xml:space="preserve"> as a </w:t>
      </w:r>
      <w:r>
        <w:rPr>
          <w:b/>
        </w:rPr>
        <w:t>permanent reference/demo tenant</w:t>
      </w:r>
      <w:r>
        <w:t xml:space="preserve"> and</w:t>
      </w:r>
    </w:p>
    <w:p>
      <w:r>
        <w:t xml:space="preserve">provision the first real customer as a </w:t>
      </w:r>
      <w:r>
        <w:rPr>
          <w:b/>
        </w:rPr>
        <w:t>second, fully isolated tenant</w:t>
      </w:r>
      <w:r>
        <w:t xml:space="preserve"> on the same project. **No demo</w:t>
      </w:r>
    </w:p>
    <w:p>
      <w:r>
        <w:t>deletion.</w:t>
      </w:r>
      <w:r>
        <w:rPr>
          <w:b/>
        </w:rPr>
        <w:t xml:space="preserve"> Supersedes the demo-cleanup approach. </w:t>
      </w:r>
      <w:r>
        <w:t xml:space="preserve">Env:** </w:t>
      </w:r>
      <w:r>
        <w:rPr>
          <w:rFonts w:ascii="Consolas" w:hAnsi="Consolas"/>
          <w:sz w:val="19"/>
        </w:rPr>
        <w:t>vantora-staging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>).</w:t>
      </w:r>
    </w:p>
    <w:p>
      <w:r>
        <w:rPr>
          <w:b/>
        </w:rPr>
        <w:t>`kako-fmcg` untouched.</w:t>
      </w:r>
    </w:p>
    <w:p>
      <w:pPr>
        <w:pStyle w:val="Heading2"/>
      </w:pPr>
      <w:r>
        <w:rPr>
          <w:color w:val="1F497D"/>
        </w:rPr>
        <w:t>Why this works</w:t>
      </w:r>
    </w:p>
    <w:p>
      <w:r>
        <w:t xml:space="preserve">VANTORA is </w:t>
      </w:r>
      <w:r>
        <w:rPr>
          <w:b/>
        </w:rPr>
        <w:t>multi-tenant by design</w:t>
      </w:r>
      <w:r>
        <w:t>:</w:t>
      </w:r>
    </w:p>
    <w:p>
      <w:pPr>
        <w:pStyle w:val="ListBullet"/>
      </w:pPr>
      <w:r>
        <w:rPr>
          <w:b/>
        </w:rPr>
        <w:t>RLS isolation</w:t>
      </w:r>
      <w:r>
        <w:t xml:space="preserve"> — every query is scoped by the user's </w:t>
      </w:r>
      <w:r>
        <w:rPr>
          <w:rFonts w:ascii="Consolas" w:hAnsi="Consolas"/>
          <w:sz w:val="19"/>
        </w:rPr>
        <w:t>erp_user_branches</w:t>
      </w:r>
      <w:r>
        <w:t xml:space="preserve"> → company. Demo users see</w:t>
      </w:r>
    </w:p>
    <w:p>
      <w:r>
        <w:t>only the demo; the real customer's users see only their company. The platform owner sees both.</w:t>
      </w:r>
    </w:p>
    <w:p>
      <w:pPr>
        <w:pStyle w:val="ListBullet"/>
      </w:pPr>
      <w:r>
        <w:rPr>
          <w:b/>
        </w:rPr>
        <w:t>Tenant-scoped document numbering</w:t>
      </w:r>
      <w:r>
        <w:t xml:space="preserve"> (migration </w:t>
      </w:r>
      <w:r>
        <w:rPr>
          <w:rFonts w:ascii="Consolas" w:hAnsi="Consolas"/>
          <w:sz w:val="19"/>
        </w:rPr>
        <w:t>0268</w:t>
      </w:r>
      <w:r>
        <w:t>) — invoice/collection/return/PO/transfer numbers</w:t>
      </w:r>
    </w:p>
    <w:p>
      <w:r>
        <w:t xml:space="preserve">are unique </w:t>
      </w:r>
      <w:r>
        <w:rPr>
          <w:b/>
        </w:rPr>
        <w:t>per branch</w:t>
      </w:r>
      <w:r>
        <w:t xml:space="preserve">, so two tenants can both have </w:t>
      </w:r>
      <w:r>
        <w:rPr>
          <w:rFonts w:ascii="Consolas" w:hAnsi="Consolas"/>
          <w:sz w:val="19"/>
        </w:rPr>
        <w:t>INV-CAI-000001</w:t>
      </w:r>
      <w:r>
        <w:t xml:space="preserve"> without collision (already proven</w:t>
      </w:r>
    </w:p>
    <w:p>
      <w:r>
        <w:t>with two coexisting tenants).</w:t>
      </w:r>
    </w:p>
    <w:p>
      <w:pPr>
        <w:pStyle w:val="ListBullet"/>
      </w:pPr>
      <w:r>
        <w:rPr>
          <w:b/>
        </w:rPr>
        <w:t>Per-tenant role permissions</w:t>
      </w:r>
      <w:r>
        <w:t xml:space="preserve"> — </w:t>
      </w:r>
      <w:r>
        <w:rPr>
          <w:rFonts w:ascii="Consolas" w:hAnsi="Consolas"/>
          <w:sz w:val="19"/>
        </w:rPr>
        <w:t>erp_user_has_permission</w:t>
      </w:r>
      <w:r>
        <w:t xml:space="preserve"> prefers each company's</w:t>
      </w:r>
    </w:p>
    <w:p>
      <w:r>
        <w:rPr>
          <w:rFonts w:ascii="Consolas" w:hAnsi="Consolas"/>
          <w:sz w:val="19"/>
        </w:rPr>
        <w:t>erp_company_role_permissions</w:t>
      </w:r>
      <w:r>
        <w:t>, so tenants can have different role behavior on the same global schema.</w:t>
      </w:r>
    </w:p>
    <w:p>
      <w:r>
        <w:t xml:space="preserve">So adding a customer is </w:t>
      </w:r>
      <w:r>
        <w:rPr>
          <w:b/>
        </w:rPr>
        <w:t>purely additive</w:t>
      </w:r>
      <w:r>
        <w:t xml:space="preserve"> — nothing about the demo changes, and there is no destructive</w:t>
      </w:r>
    </w:p>
    <w:p>
      <w:r>
        <w:t>step to gate.</w:t>
      </w:r>
    </w:p>
    <w:p>
      <w:pPr>
        <w:pStyle w:val="Heading2"/>
      </w:pPr>
      <w:r>
        <w:rPr>
          <w:color w:val="1F497D"/>
        </w:rPr>
        <w:t>What changed vs the earlier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Earlier (cleanup)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Now (coexistence)</w:t>
            </w:r>
          </w:p>
        </w:tc>
      </w:tr>
      <w:tr>
        <w:tc>
          <w:tcPr>
            <w:tcW w:type="dxa" w:w="4320"/>
          </w:tcPr>
          <w:p>
            <w:r>
              <w:t>Wipe the demo tenant (Phase 1, PITR-gated)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Keep</w:t>
            </w:r>
            <w:r>
              <w:t xml:space="preserve"> the demo; </w:t>
            </w:r>
            <w:r>
              <w:rPr>
                <w:b/>
              </w:rPr>
              <w:t>add</w:t>
            </w:r>
            <w:r>
              <w:t xml:space="preserve"> a 2nd tenant — no wipe, no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golive-demo-cleanup.sql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superseded</w:t>
            </w:r>
            <w:r>
              <w:t xml:space="preserve"> (kept for reference; won't run after the demo rename)</w:t>
            </w:r>
          </w:p>
        </w:tc>
      </w:tr>
      <w:tr>
        <w:tc>
          <w:tcPr>
            <w:tcW w:type="dxa" w:w="4320"/>
          </w:tcPr>
          <w:p>
            <w:r>
              <w:t>Single production tenant</w:t>
            </w:r>
          </w:p>
        </w:tc>
        <w:tc>
          <w:tcPr>
            <w:tcW w:type="dxa" w:w="4320"/>
          </w:tcPr>
          <w:p>
            <w:r>
              <w:t>Demo + real customer side by side, RLS-isolated</w:t>
            </w:r>
          </w:p>
        </w:tc>
      </w:tr>
    </w:tbl>
    <w:p/>
    <w:p>
      <w:r>
        <w:t xml:space="preserve">The demo company was renamed </w:t>
      </w:r>
      <w:r>
        <w:rPr>
          <w:b/>
        </w:rPr>
        <w:t>`Nile FMCG Distribution Group` → `Nile FMCG (DEMO)`</w:t>
      </w:r>
      <w:r>
        <w:t xml:space="preserve"> so it's unmistakable</w:t>
      </w:r>
    </w:p>
    <w:p>
      <w:r>
        <w:t>in the company switcher.</w:t>
      </w:r>
    </w:p>
    <w:p>
      <w:pPr>
        <w:pStyle w:val="Heading2"/>
      </w:pPr>
      <w:r>
        <w:rPr>
          <w:color w:val="1F497D"/>
        </w:rPr>
        <w:t>One required step per new FMCG tenant</w:t>
      </w:r>
    </w:p>
    <w:p>
      <w:r>
        <w:t>The four refined roles (</w:t>
      </w:r>
      <w:r>
        <w:rPr>
          <w:rFonts w:ascii="Consolas" w:hAnsi="Consolas"/>
          <w:sz w:val="19"/>
        </w:rPr>
        <w:t>merchandiser</w:t>
      </w:r>
      <w:r>
        <w:t xml:space="preserve">, </w:t>
      </w:r>
      <w:r>
        <w:rPr>
          <w:rFonts w:ascii="Consolas" w:hAnsi="Consolas"/>
          <w:sz w:val="19"/>
        </w:rPr>
        <w:t>cash_van</w:t>
      </w:r>
      <w:r>
        <w:t xml:space="preserve">, </w:t>
      </w:r>
      <w:r>
        <w:rPr>
          <w:rFonts w:ascii="Consolas" w:hAnsi="Consolas"/>
          <w:sz w:val="19"/>
        </w:rPr>
        <w:t>collection_officer</w:t>
      </w:r>
      <w:r>
        <w:t xml:space="preserve">, </w:t>
      </w:r>
      <w:r>
        <w:rPr>
          <w:rFonts w:ascii="Consolas" w:hAnsi="Consolas"/>
          <w:sz w:val="19"/>
        </w:rPr>
        <w:t>credit_controller</w:t>
      </w:r>
      <w:r>
        <w:t>) have **no</w:t>
      </w:r>
    </w:p>
    <w:p>
      <w:r>
        <w:t>global permission defaults</w:t>
      </w:r>
      <w:r>
        <w:rPr>
          <w:b/>
        </w:rPr>
        <w:t xml:space="preserve"> — they only function via </w:t>
      </w:r>
      <w:r>
        <w:t>company-scoped** grants. So each new FMCG tenant</w:t>
      </w:r>
    </w:p>
    <w:p>
      <w:r>
        <w:rPr>
          <w:b/>
        </w:rPr>
        <w:t>must</w:t>
      </w:r>
      <w:r>
        <w:t xml:space="preserve"> seed those permissions, or users with those roles get nothing. This is automated by</w:t>
      </w:r>
    </w:p>
    <w:p>
      <w:r>
        <w:rPr>
          <w:rFonts w:ascii="Consolas" w:hAnsi="Consolas"/>
          <w:sz w:val="19"/>
        </w:rPr>
        <w:t>supabase/pilot/new-tenant-bootstrap.sql</w:t>
      </w:r>
      <w:r>
        <w:t xml:space="preserve"> (the system roles </w:t>
      </w:r>
      <w:r>
        <w:rPr>
          <w:rFonts w:ascii="Consolas" w:hAnsi="Consolas"/>
          <w:sz w:val="19"/>
        </w:rPr>
        <w:t>salesman</w:t>
      </w:r>
      <w:r>
        <w:t>/</w:t>
      </w:r>
      <w:r>
        <w:rPr>
          <w:rFonts w:ascii="Consolas" w:hAnsi="Consolas"/>
          <w:sz w:val="19"/>
        </w:rPr>
        <w:t>cashier</w:t>
      </w:r>
      <w:r>
        <w:t>/</w:t>
      </w:r>
      <w:r>
        <w:rPr>
          <w:rFonts w:ascii="Consolas" w:hAnsi="Consolas"/>
          <w:sz w:val="19"/>
        </w:rPr>
        <w:t>accountant</w:t>
      </w:r>
      <w:r>
        <w:t>/… work from</w:t>
      </w:r>
    </w:p>
    <w:p>
      <w:r>
        <w:t xml:space="preserve">global defaults and need no seeding). The cash-van credit-guard trigger is a </w:t>
      </w:r>
      <w:r>
        <w:rPr>
          <w:b/>
        </w:rPr>
        <w:t>global</w:t>
      </w:r>
      <w:r>
        <w:t xml:space="preserve"> object already</w:t>
      </w:r>
    </w:p>
    <w:p>
      <w:r>
        <w:t xml:space="preserve">present — it applies to any tenant's </w:t>
      </w:r>
      <w:r>
        <w:rPr>
          <w:rFonts w:ascii="Consolas" w:hAnsi="Consolas"/>
          <w:sz w:val="19"/>
        </w:rPr>
        <w:t>cash_van</w:t>
      </w:r>
      <w:r>
        <w:t xml:space="preserve"> users automatically.</w:t>
      </w:r>
    </w:p>
    <w:p>
      <w:pPr>
        <w:pStyle w:val="Heading2"/>
      </w:pPr>
      <w:r>
        <w:rPr>
          <w:color w:val="1F497D"/>
        </w:rPr>
        <w:t>Revised go-live sequence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Artifact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 xml:space="preserve">Confirm a backup/restore option exists (good practice; </w:t>
            </w:r>
            <w:r>
              <w:rPr>
                <w:b/>
              </w:rPr>
              <w:t>no destructive gate</w:t>
            </w:r>
            <w:r>
              <w:t>)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Bootstrap the real tenant</w:t>
            </w:r>
            <w:r>
              <w:t xml:space="preserve"> (empty FMCG shell + settings + refined-role perms)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supabase/pilot/new-tenant-bootstrap.sql</w:t>
            </w:r>
            <w:r>
              <w:t xml:space="preserve"> (edit name/ar/currency/country)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Import real master data </w:t>
            </w:r>
            <w:r>
              <w:rPr>
                <w:b/>
              </w:rPr>
              <w:t>into the new tenant</w:t>
            </w:r>
            <w:r>
              <w:t xml:space="preserve"> (branches → warehouses → products → suppliers → routes → customers → opening stock)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docs/onboarding/templates/*.csv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Invite real users into the new tenant; assign refined roles (+ van/route)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07-users.csv</w:t>
            </w:r>
            <w:r>
              <w:t>, User Onboarding Guide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Public frontend (prod env vars, domain, disable SSO); serves both tenants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GOLIVE-VANTORA-STAGING-AS-PROD.md</w:t>
            </w:r>
            <w:r>
              <w:t xml:space="preserve"> §4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Verify: role assertions + sell→collect dry-run </w:t>
            </w:r>
            <w:r>
              <w:rPr>
                <w:b/>
              </w:rPr>
              <w:t>scoped to the new tenant</w:t>
            </w:r>
            <w:r>
              <w:t>; demo still isolated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GO-LIVE-CHECKLIST.md</w:t>
            </w:r>
          </w:p>
        </w:tc>
      </w:tr>
    </w:tbl>
    <w:p/>
    <w:p>
      <w:r>
        <w:t>"Empty shell first" (chosen): Phase 1 creates the company + settings + roles now; Phases 2–3 load real</w:t>
      </w:r>
    </w:p>
    <w:p>
      <w:r>
        <w:t>data and users when ready — a staged start.</w:t>
      </w:r>
    </w:p>
    <w:p>
      <w:pPr>
        <w:pStyle w:val="Heading2"/>
      </w:pPr>
      <w:r>
        <w:rPr>
          <w:color w:val="1F497D"/>
        </w:rPr>
        <w:t>Rollback (per tenant, non-destructive to the demo)</w:t>
      </w:r>
    </w:p>
    <w:p>
      <w:pPr>
        <w:pStyle w:val="ListBullet"/>
      </w:pPr>
      <w:r>
        <w:rPr>
          <w:b/>
        </w:rPr>
        <w:t>New tenant gone wrong:</w:t>
      </w:r>
      <w:r>
        <w:t xml:space="preserve"> delete just that company (</w:t>
      </w:r>
      <w:r>
        <w:rPr>
          <w:rFonts w:ascii="Consolas" w:hAnsi="Consolas"/>
          <w:sz w:val="19"/>
        </w:rPr>
        <w:t>DELETE FROM erp_companies WHERE id = &lt;new&gt;</w:t>
      </w:r>
      <w:r>
        <w:t xml:space="preserve"> cascades</w:t>
      </w:r>
    </w:p>
    <w:p>
      <w:r>
        <w:t>its data) — the demo and globals are untouched. Or restore from the scheduled backup.</w:t>
      </w:r>
    </w:p>
    <w:p>
      <w:pPr>
        <w:pStyle w:val="ListBullet"/>
      </w:pPr>
      <w:r>
        <w:rPr>
          <w:b/>
        </w:rPr>
        <w:t>Demo:</w:t>
      </w:r>
      <w:r>
        <w:t xml:space="preserve"> never deleted in this model; reproducible from </w:t>
      </w:r>
      <w:r>
        <w:rPr>
          <w:rFonts w:ascii="Consolas" w:hAnsi="Consolas"/>
          <w:sz w:val="19"/>
        </w:rPr>
        <w:t>reference-company.sql</w:t>
      </w:r>
      <w:r>
        <w:t xml:space="preserve"> if ever needed.</w:t>
      </w:r>
    </w:p>
    <w:p>
      <w:pPr>
        <w:pStyle w:val="Heading2"/>
      </w:pPr>
      <w:r>
        <w:rPr>
          <w:color w:val="1F497D"/>
        </w:rPr>
        <w:t>Guardrails</w:t>
      </w:r>
    </w:p>
    <w:p>
      <w:pPr>
        <w:pStyle w:val="ListBullet"/>
      </w:pPr>
      <w:r>
        <w:rPr>
          <w:rFonts w:ascii="Consolas" w:hAnsi="Consolas"/>
          <w:sz w:val="19"/>
        </w:rPr>
        <w:t>kako-fmcg</w:t>
      </w:r>
      <w:r>
        <w:t xml:space="preserve"> untouched. Demo retained. New tenant is RLS-isolated. No schema/global changes — only an</w:t>
      </w:r>
    </w:p>
    <w:p>
      <w:r>
        <w:t xml:space="preserve">additive company + its scoped role permissions. Real-customer provisioning proceeds </w:t>
      </w:r>
      <w:r>
        <w:rPr>
          <w:b/>
        </w:rPr>
        <w:t>only</w:t>
      </w:r>
      <w:r>
        <w:t xml:space="preserve"> with the</w:t>
      </w:r>
    </w:p>
    <w:p>
      <w:r>
        <w:t>customer's details and your go-ahead.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