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Go-Live Rollback Procedure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Go-Live Rollback Procedure</w:t>
      </w:r>
    </w:p>
    <w:p>
      <w:r>
        <w:rPr>
          <w:b/>
        </w:rPr>
        <w:t>Env: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→ production (</w:t>
      </w:r>
      <w:r>
        <w:rPr>
          <w:rFonts w:ascii="Consolas" w:hAnsi="Consolas"/>
          <w:sz w:val="19"/>
        </w:rPr>
        <w:t>rsjvgehvastmawzwnqcs</w:t>
      </w:r>
      <w:r>
        <w:t xml:space="preserve">). </w:t>
      </w:r>
      <w:r>
        <w:rPr>
          <w:b/>
        </w:rPr>
        <w:t>`kako-fmcg` is never involved.</w:t>
      </w:r>
    </w:p>
    <w:p>
      <w:r>
        <w:t>Covers how to revert each go-live phase. **The only irreversible-without-a-restore-point step is the</w:t>
      </w:r>
    </w:p>
    <w:p>
      <w:r>
        <w:t>demo cleanup (Phase 1) — which is why PITR is a hard gate.**</w:t>
      </w:r>
    </w:p>
    <w:p>
      <w:pPr>
        <w:pStyle w:val="Heading2"/>
      </w:pPr>
      <w:r>
        <w:rPr>
          <w:color w:val="1F497D"/>
        </w:rPr>
        <w:t>Rollback by phase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If it goes wrong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Rollback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0. Backups</w:t>
            </w:r>
          </w:p>
        </w:tc>
        <w:tc>
          <w:tcPr>
            <w:tcW w:type="dxa" w:w="2880"/>
          </w:tcPr>
          <w:p>
            <w:r>
              <w:t>n/a (no mutation)</w:t>
            </w:r>
          </w:p>
        </w:tc>
        <w:tc>
          <w:tcPr>
            <w:tcW w:type="dxa" w:w="2880"/>
          </w:tcPr>
          <w:p>
            <w:r>
              <w:t>nothing to undo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Demo cleanup</w:t>
            </w:r>
          </w:p>
        </w:tc>
        <w:tc>
          <w:tcPr>
            <w:tcW w:type="dxa" w:w="2880"/>
          </w:tcPr>
          <w:p>
            <w:r>
              <w:t>wrong/over-deletion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PITR restore</w:t>
            </w:r>
            <w:r>
              <w:t xml:space="preserve"> to the recorded pre-cleanup timestamp (primary). Fallbacks: restore latest daily backup; or re-run </w:t>
            </w:r>
            <w:r>
              <w:rPr>
                <w:rFonts w:ascii="Consolas" w:hAnsi="Consolas"/>
                <w:sz w:val="19"/>
              </w:rPr>
              <w:t>reference-company.sql</w:t>
            </w:r>
            <w:r>
              <w:t xml:space="preserve"> to rebuild the demo tenant from scratch. The script also </w:t>
            </w:r>
            <w:r>
              <w:rPr>
                <w:b/>
              </w:rPr>
              <w:t>self-rolls-back</w:t>
            </w:r>
            <w:r>
              <w:t xml:space="preserve"> on any verification failure (one transaction).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Master-data import</w:t>
            </w:r>
          </w:p>
        </w:tc>
        <w:tc>
          <w:tcPr>
            <w:tcW w:type="dxa" w:w="2880"/>
          </w:tcPr>
          <w:p>
            <w:r>
              <w:t>bad/duplicate rows</w:t>
            </w:r>
          </w:p>
        </w:tc>
        <w:tc>
          <w:tcPr>
            <w:tcW w:type="dxa" w:w="2880"/>
          </w:tcPr>
          <w:p>
            <w:r>
              <w:t xml:space="preserve">Importer is idempotent on </w:t>
            </w:r>
            <w:r>
              <w:rPr>
                <w:rFonts w:ascii="Consolas" w:hAnsi="Consolas"/>
                <w:sz w:val="19"/>
              </w:rPr>
              <w:t>external_id</w:t>
            </w:r>
            <w:r>
              <w:t>/</w:t>
            </w:r>
            <w:r>
              <w:rPr>
                <w:rFonts w:ascii="Consolas" w:hAnsi="Consolas"/>
                <w:sz w:val="19"/>
              </w:rPr>
              <w:t>code</w:t>
            </w:r>
            <w:r>
              <w:t xml:space="preserve"> — fix the CSV and re-import with </w:t>
            </w:r>
            <w:r>
              <w:rPr>
                <w:rFonts w:ascii="Consolas" w:hAnsi="Consolas"/>
                <w:sz w:val="19"/>
              </w:rPr>
              <w:t>upsert</w:t>
            </w:r>
            <w:r>
              <w:t xml:space="preserve">; or delete the affected company and re-run from clean. Each row is stamped with </w:t>
            </w:r>
            <w:r>
              <w:rPr>
                <w:rFonts w:ascii="Consolas" w:hAnsi="Consolas"/>
                <w:sz w:val="19"/>
              </w:rPr>
              <w:t>import_job_id</w:t>
            </w:r>
            <w:r>
              <w:t xml:space="preserve"> for targeted cleanup.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Users &amp; roles</w:t>
            </w:r>
          </w:p>
        </w:tc>
        <w:tc>
          <w:tcPr>
            <w:tcW w:type="dxa" w:w="2880"/>
          </w:tcPr>
          <w:p>
            <w:r>
              <w:t>wrong role/assignment</w:t>
            </w:r>
          </w:p>
        </w:tc>
        <w:tc>
          <w:tcPr>
            <w:tcW w:type="dxa" w:w="2880"/>
          </w:tcPr>
          <w:p>
            <w:r>
              <w:t xml:space="preserve">Re-assign role in </w:t>
            </w:r>
            <w:r>
              <w:rPr>
                <w:rFonts w:ascii="Consolas" w:hAnsi="Consolas"/>
                <w:sz w:val="19"/>
              </w:rPr>
              <w:t>erp_user_branches</w:t>
            </w:r>
            <w:r>
              <w:t xml:space="preserve"> (no destructive change); deactivate a mis-created user; corrections are reversible data edits, not deletions.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4. Public frontend</w:t>
            </w:r>
          </w:p>
        </w:tc>
        <w:tc>
          <w:tcPr>
            <w:tcW w:type="dxa" w:w="2880"/>
          </w:tcPr>
          <w:p>
            <w:r>
              <w:t>wrong target / exposure</w:t>
            </w:r>
          </w:p>
        </w:tc>
        <w:tc>
          <w:tcPr>
            <w:tcW w:type="dxa" w:w="2880"/>
          </w:tcPr>
          <w:p>
            <w:r>
              <w:t>Revert Vercel env vars / re-enable Deployment Protection / roll back to the previous deployment (Vercel keeps immutable deployments — instant rollback). No DB impact.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5. Hardening</w:t>
            </w:r>
          </w:p>
        </w:tc>
        <w:tc>
          <w:tcPr>
            <w:tcW w:type="dxa" w:w="2880"/>
          </w:tcPr>
          <w:p>
            <w:r>
              <w:t>toggle regressions</w:t>
            </w:r>
          </w:p>
        </w:tc>
        <w:tc>
          <w:tcPr>
            <w:tcW w:type="dxa" w:w="2880"/>
          </w:tcPr>
          <w:p>
            <w:r>
              <w:t>Each setting (leaked-password, advisors fixes) is individually reversible in the dashboard.</w:t>
            </w:r>
          </w:p>
        </w:tc>
      </w:tr>
    </w:tbl>
    <w:p/>
    <w:p>
      <w:pPr>
        <w:pStyle w:val="Heading2"/>
      </w:pPr>
      <w:r>
        <w:rPr>
          <w:color w:val="1F497D"/>
        </w:rPr>
        <w:t>Primary rollback — PITR restore (Phase 1)</w:t>
      </w:r>
    </w:p>
    <w:p>
      <w:pPr>
        <w:pStyle w:val="ListNumber"/>
      </w:pPr>
      <w:r>
        <w:t xml:space="preserve">Dashboard → </w:t>
      </w:r>
      <w:r>
        <w:rPr>
          <w:rFonts w:ascii="Consolas" w:hAnsi="Consolas"/>
          <w:sz w:val="19"/>
        </w:rPr>
        <w:t>vantora-staging</w:t>
      </w:r>
      <w:r>
        <w:t xml:space="preserve"> → </w:t>
      </w:r>
      <w:r>
        <w:rPr>
          <w:b/>
        </w:rPr>
        <w:t>Database → Backups → Restore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Point-in-Time</w:t>
      </w:r>
      <w:r>
        <w:t xml:space="preserve"> and enter the </w:t>
      </w:r>
      <w:r>
        <w:rPr>
          <w:b/>
        </w:rPr>
        <w:t>recorded pre-cleanup UTC timestamp</w:t>
      </w:r>
      <w:r>
        <w:t xml:space="preserve"> (Checklist Phase 0).</w:t>
      </w:r>
    </w:p>
    <w:p>
      <w:pPr>
        <w:pStyle w:val="ListNumber"/>
      </w:pPr>
      <w:r>
        <w:t xml:space="preserve">Restore (Supabase provisions the recovered state). Confirm: </w:t>
      </w:r>
      <w:r>
        <w:rPr>
          <w:rFonts w:ascii="Consolas" w:hAnsi="Consolas"/>
          <w:sz w:val="19"/>
        </w:rPr>
        <w:t>erp_companies</w:t>
      </w:r>
      <w:r>
        <w:t xml:space="preserve">=1, </w:t>
      </w:r>
      <w:r>
        <w:rPr>
          <w:rFonts w:ascii="Consolas" w:hAnsi="Consolas"/>
          <w:sz w:val="19"/>
        </w:rPr>
        <w:t>auth.users</w:t>
      </w:r>
      <w:r>
        <w:t>=58,</w:t>
      </w:r>
    </w:p>
    <w:p>
      <w:r>
        <w:t xml:space="preserve">270 </w:t>
      </w:r>
      <w:r>
        <w:rPr>
          <w:rFonts w:ascii="Consolas" w:hAnsi="Consolas"/>
          <w:sz w:val="19"/>
        </w:rPr>
        <w:t>erp_*</w:t>
      </w:r>
      <w:r>
        <w:t xml:space="preserve"> tables, FMCG RPCs present.</w:t>
      </w:r>
    </w:p>
    <w:p>
      <w:pPr>
        <w:pStyle w:val="ListNumber"/>
      </w:pPr>
      <w:r>
        <w:t>Re-run the schema-integrity + refined-role assertions to confirm parity.</w:t>
      </w:r>
    </w:p>
    <w:p>
      <w:pPr>
        <w:ind w:left="360"/>
      </w:pPr>
      <w:r>
        <w:rPr>
          <w:i/>
        </w:rPr>
      </w:r>
      <w:r>
        <w:rPr>
          <w:i/>
        </w:rPr>
        <w:t xml:space="preserve">If only daily backups exist (no PITR), restore the </w:t>
      </w:r>
      <w:r>
        <w:rPr>
          <w:b/>
          <w:i/>
        </w:rPr>
        <w:t>latest snapshot taken before cleanup</w:t>
      </w:r>
      <w:r>
        <w:rPr>
          <w:i/>
        </w:rPr>
        <w:t xml:space="preserve"> — same steps,</w:t>
      </w:r>
    </w:p>
    <w:p>
      <w:pPr>
        <w:ind w:left="360"/>
      </w:pPr>
      <w:r>
        <w:rPr>
          <w:i/>
        </w:rPr>
      </w:r>
      <w:r>
        <w:rPr>
          <w:i/>
        </w:rPr>
        <w:t>coarser granularity.</w:t>
      </w:r>
    </w:p>
    <w:p>
      <w:pPr>
        <w:pStyle w:val="Heading2"/>
      </w:pPr>
      <w:r>
        <w:rPr>
          <w:color w:val="1F497D"/>
        </w:rPr>
        <w:t>Secondary rollback — rebuild from seed (backup-independent)</w:t>
      </w:r>
    </w:p>
    <w:p>
      <w:r>
        <w:t>If no restore point is usable, the demo tenant is fully reproducible:</w:t>
      </w:r>
    </w:p>
    <w:p>
      <w:pPr>
        <w:ind w:left="240"/>
      </w:pPr>
      <w:r>
        <w:rPr>
          <w:rFonts w:ascii="Consolas" w:hAnsi="Consolas"/>
          <w:sz w:val="18"/>
        </w:rPr>
        <w:t>psql "$DATABASE_URL" -f supabase/pilot/reference-company.sql</w:t>
        <w:br/>
        <w:t>psql "$DATABASE_URL" -f supabase/pilot/reference-activity-and-validate.sql   # optional: activity + 325 assertions</w:t>
      </w:r>
    </w:p>
    <w:p>
      <w:r>
        <w:t>This recreates the company, 19 users + owner, refined roles, master data, and (optionally) the validated</w:t>
      </w:r>
    </w:p>
    <w:p>
      <w:r>
        <w:t xml:space="preserve">transaction loop. It does </w:t>
      </w:r>
      <w:r>
        <w:rPr>
          <w:b/>
        </w:rPr>
        <w:t>not</w:t>
      </w:r>
      <w:r>
        <w:t xml:space="preserve"> restore real distributor data — use PITR for that.</w:t>
      </w:r>
    </w:p>
    <w:p>
      <w:pPr>
        <w:pStyle w:val="Heading2"/>
      </w:pPr>
      <w:r>
        <w:rPr>
          <w:color w:val="1F497D"/>
        </w:rPr>
        <w:t>Built-in safety of the cleanup script</w:t>
      </w:r>
    </w:p>
    <w:p>
      <w:r>
        <w:rPr>
          <w:rFonts w:ascii="Consolas" w:hAnsi="Consolas"/>
          <w:sz w:val="19"/>
        </w:rPr>
        <w:t>supabase/pilot/golive-demo-cleanup.sql</w:t>
      </w:r>
      <w:r>
        <w:t>:</w:t>
      </w:r>
    </w:p>
    <w:p>
      <w:pPr>
        <w:pStyle w:val="ListBullet"/>
      </w:pPr>
      <w:r>
        <w:rPr>
          <w:b/>
        </w:rPr>
        <w:t>Refuses to run</w:t>
      </w:r>
      <w:r>
        <w:t xml:space="preserve"> unless exactly 1 (demo) company and 0 non-</w:t>
      </w:r>
      <w:r>
        <w:rPr>
          <w:rFonts w:ascii="Consolas" w:hAnsi="Consolas"/>
          <w:sz w:val="19"/>
        </w:rPr>
        <w:t>@nile-group.test</w:t>
      </w:r>
      <w:r>
        <w:t xml:space="preserve"> users exist — so it can</w:t>
      </w:r>
    </w:p>
    <w:p>
      <w:r>
        <w:t>never delete real data that has already been imported.</w:t>
      </w:r>
    </w:p>
    <w:p>
      <w:pPr>
        <w:pStyle w:val="ListBullet"/>
      </w:pPr>
      <w:r>
        <w:rPr>
          <w:b/>
        </w:rPr>
        <w:t>Dry-run by default</w:t>
      </w:r>
      <w:r>
        <w:t xml:space="preserve">: without </w:t>
      </w:r>
      <w:r>
        <w:rPr>
          <w:rFonts w:ascii="Consolas" w:hAnsi="Consolas"/>
          <w:sz w:val="19"/>
        </w:rPr>
        <w:t>vantora.cleanup_confirm='APPLY'</w:t>
      </w:r>
      <w:r>
        <w:t xml:space="preserve"> it executes the deletes, verifies, then</w:t>
      </w:r>
    </w:p>
    <w:p>
      <w:r>
        <w:rPr>
          <w:b/>
        </w:rPr>
        <w:t>raises → rolls back</w:t>
      </w:r>
      <w:r>
        <w:t xml:space="preserve"> (zero changes), printing what would remain.</w:t>
      </w:r>
    </w:p>
    <w:p>
      <w:pPr>
        <w:pStyle w:val="ListBullet"/>
      </w:pPr>
      <w:r>
        <w:t xml:space="preserve">Runs in </w:t>
      </w:r>
      <w:r>
        <w:rPr>
          <w:b/>
        </w:rPr>
        <w:t>one transaction</w:t>
      </w:r>
      <w:r>
        <w:t xml:space="preserve"> with post-delete verification; any anomaly aborts the whole operation.</w:t>
      </w:r>
    </w:p>
    <w:p>
      <w:pPr>
        <w:pStyle w:val="Heading2"/>
      </w:pPr>
      <w:r>
        <w:rPr>
          <w:color w:val="1F497D"/>
        </w:rPr>
        <w:t>Escalation</w:t>
      </w:r>
    </w:p>
    <w:p>
      <w:r>
        <w:t xml:space="preserve">If a restore appears incomplete: do </w:t>
      </w:r>
      <w:r>
        <w:rPr>
          <w:b/>
        </w:rPr>
        <w:t>not</w:t>
      </w:r>
      <w:r>
        <w:t xml:space="preserve"> re-run cleanup or imports. Capture the current counts, keep the</w:t>
      </w:r>
    </w:p>
    <w:p>
      <w:r>
        <w:t xml:space="preserve">environment as-is, and restore a known-good earlier point. </w:t>
      </w:r>
      <w:r>
        <w:rPr>
          <w:rFonts w:ascii="Consolas" w:hAnsi="Consolas"/>
          <w:sz w:val="19"/>
        </w:rPr>
        <w:t>kako-fmcg</w:t>
      </w:r>
      <w:r>
        <w:t xml:space="preserve"> remains the untouched, independent</w:t>
      </w:r>
    </w:p>
    <w:p>
      <w:r>
        <w:t>fallback environment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