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SOP-04: Collect Payment</w:t>
      </w:r>
    </w:p>
    <w:p>
      <w:pPr>
        <w:jc w:val="center"/>
      </w:pPr>
      <w:r>
        <w:rPr>
          <w:color w:val="555555"/>
          <w:sz w:val="24"/>
        </w:rPr>
        <w:t>Standard Operating Procedure</w:t>
      </w:r>
    </w:p>
    <w:p/>
    <w:p>
      <w:pPr>
        <w:jc w:val="center"/>
      </w:pPr>
      <w:r>
        <w:rPr>
          <w:i/>
          <w:color w:val="555555"/>
          <w:sz w:val="18"/>
        </w:rPr>
        <w:t>VANTORA Handbook — SOP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SOP-04 — Collect Payment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Objective</w:t>
      </w:r>
    </w:p>
    <w:p>
      <w:r>
        <w:rPr>
          <w:b w:val="0"/>
          <w:i w:val="0"/>
          <w:color w:val="1A1A1A"/>
          <w:sz w:val="20"/>
        </w:rPr>
        <w:t>Perform 'Collect Payment' correctly and consistently in the Collections / Cashbox module.</w:t>
      </w:r>
    </w:p>
    <w:p>
      <w:pPr>
        <w:pStyle w:val="Heading2"/>
      </w:pPr>
      <w:r>
        <w:rPr>
          <w:b/>
          <w:color w:val="1F2A44"/>
          <w:sz w:val="25"/>
        </w:rPr>
        <w:t>Responsible Role</w:t>
      </w:r>
    </w:p>
    <w:p>
      <w:r>
        <w:rPr>
          <w:b w:val="0"/>
          <w:i w:val="0"/>
          <w:color w:val="1A1A1A"/>
          <w:sz w:val="20"/>
        </w:rPr>
        <w:t>Accountant / Sales Rep</w:t>
      </w:r>
    </w:p>
    <w:p>
      <w:pPr>
        <w:pStyle w:val="Heading2"/>
      </w:pPr>
      <w:r>
        <w:rPr>
          <w:b/>
          <w:color w:val="1F2A44"/>
          <w:sz w:val="25"/>
        </w:rPr>
        <w:t>Steps</w:t>
      </w:r>
    </w:p>
    <w:p>
      <w:pPr>
        <w:pStyle w:val="ListNumber"/>
      </w:pPr>
      <w:r>
        <w:rPr>
          <w:color w:val="1A1A1A"/>
          <w:sz w:val="19"/>
        </w:rPr>
        <w:t>Open Collections or the invoice.</w:t>
      </w:r>
    </w:p>
    <w:p>
      <w:pPr>
        <w:pStyle w:val="ListNumber"/>
      </w:pPr>
      <w:r>
        <w:rPr>
          <w:color w:val="1A1A1A"/>
          <w:sz w:val="19"/>
        </w:rPr>
        <w:t>Enter amount &amp; method.</w:t>
      </w:r>
    </w:p>
    <w:p>
      <w:pPr>
        <w:pStyle w:val="ListNumber"/>
      </w:pPr>
      <w:r>
        <w:rPr>
          <w:color w:val="1A1A1A"/>
          <w:sz w:val="19"/>
        </w:rPr>
        <w:t>For partial, record amount paid; remainder goes on the customer account (credit).</w:t>
      </w:r>
    </w:p>
    <w:p>
      <w:pPr>
        <w:pStyle w:val="ListNumber"/>
      </w:pPr>
      <w:r>
        <w:rPr>
          <w:color w:val="1A1A1A"/>
          <w:sz w:val="19"/>
        </w:rPr>
        <w:t>Post; cashbox/shift updates.</w:t>
      </w:r>
    </w:p>
    <w:p>
      <w:pPr>
        <w:pStyle w:val="Heading2"/>
      </w:pPr>
      <w:r>
        <w:rPr>
          <w:b/>
          <w:color w:val="1F2A44"/>
          <w:sz w:val="25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Credit beyond a customer's limit is blocked when credit control is on.</w:t>
      </w:r>
    </w:p>
    <w:p>
      <w:pPr>
        <w:pStyle w:val="Heading2"/>
      </w:pPr>
      <w:r>
        <w:rPr>
          <w:b/>
          <w:color w:val="1F2A44"/>
          <w:sz w:val="25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recorded payment, updated AR balance and cashbox.</w:t>
      </w:r>
    </w:p>
    <w:p>
      <w:pPr>
        <w:pStyle w:val="Heading2"/>
      </w:pPr>
      <w:r>
        <w:rPr>
          <w:b/>
          <w:color w:val="1F2A44"/>
          <w:sz w:val="25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Credit-limit breach → blocked. Cash variance → reconcile at shift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