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SOP-06: Approve Promotion (Trade Spend)</w:t>
      </w:r>
    </w:p>
    <w:p>
      <w:pPr>
        <w:jc w:val="center"/>
      </w:pPr>
      <w:r>
        <w:rPr>
          <w:color w:val="555555"/>
          <w:sz w:val="24"/>
        </w:rPr>
        <w:t>Standard Operating Procedure</w:t>
      </w:r>
    </w:p>
    <w:p/>
    <w:p>
      <w:pPr>
        <w:jc w:val="center"/>
      </w:pPr>
      <w:r>
        <w:rPr>
          <w:i/>
          <w:color w:val="555555"/>
          <w:sz w:val="18"/>
        </w:rPr>
        <w:t>VANTORA Handbook — SOP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SOP-06 — Approve Promotion (Trade Spend)</w:t>
      </w:r>
    </w:p>
    <w:p>
      <w:r>
        <w:rPr>
          <w:b/>
          <w:sz w:val="18"/>
        </w:rPr>
        <w:t xml:space="preserve">Status: </w:t>
      </w:r>
      <w:r>
        <w:rPr>
          <w:b/>
          <w:color w:val="1B4F9E"/>
          <w:sz w:val="18"/>
        </w:rPr>
        <w:t>Implemented</w:t>
      </w:r>
    </w:p>
    <w:p>
      <w:pPr>
        <w:pStyle w:val="Heading2"/>
      </w:pPr>
      <w:r>
        <w:rPr>
          <w:b/>
          <w:color w:val="1F2A44"/>
          <w:sz w:val="25"/>
        </w:rPr>
        <w:t>Objective</w:t>
      </w:r>
    </w:p>
    <w:p>
      <w:r>
        <w:rPr>
          <w:b w:val="0"/>
          <w:i w:val="0"/>
          <w:color w:val="1A1A1A"/>
          <w:sz w:val="20"/>
        </w:rPr>
        <w:t>Perform 'Approve Promotion (Trade Spend)' correctly and consistently in the Trade Spend module.</w:t>
      </w:r>
    </w:p>
    <w:p>
      <w:pPr>
        <w:pStyle w:val="Heading2"/>
      </w:pPr>
      <w:r>
        <w:rPr>
          <w:b/>
          <w:color w:val="1F2A44"/>
          <w:sz w:val="25"/>
        </w:rPr>
        <w:t>Responsible Role</w:t>
      </w:r>
    </w:p>
    <w:p>
      <w:r>
        <w:rPr>
          <w:b w:val="0"/>
          <w:i w:val="0"/>
          <w:color w:val="1A1A1A"/>
          <w:sz w:val="20"/>
        </w:rPr>
        <w:t>Company Admin / Finance</w:t>
      </w:r>
    </w:p>
    <w:p>
      <w:pPr>
        <w:pStyle w:val="Heading2"/>
      </w:pPr>
      <w:r>
        <w:rPr>
          <w:b/>
          <w:color w:val="1F2A44"/>
          <w:sz w:val="25"/>
        </w:rPr>
        <w:t>Steps</w:t>
      </w:r>
    </w:p>
    <w:p>
      <w:pPr>
        <w:pStyle w:val="ListNumber"/>
      </w:pPr>
      <w:r>
        <w:rPr>
          <w:color w:val="1A1A1A"/>
          <w:sz w:val="19"/>
        </w:rPr>
        <w:t>Open Trade Spend (requires KAKO_TRADE_SPEND).</w:t>
      </w:r>
    </w:p>
    <w:p>
      <w:pPr>
        <w:pStyle w:val="ListNumber"/>
      </w:pPr>
      <w:r>
        <w:rPr>
          <w:color w:val="1A1A1A"/>
          <w:sz w:val="19"/>
        </w:rPr>
        <w:t>Create/select a promotion with budget &amp; cap.</w:t>
      </w:r>
    </w:p>
    <w:p>
      <w:pPr>
        <w:pStyle w:val="ListNumber"/>
      </w:pPr>
      <w:r>
        <w:rPr>
          <w:color w:val="1A1A1A"/>
          <w:sz w:val="19"/>
        </w:rPr>
        <w:t>Submit for approval; approver reviews funding.</w:t>
      </w:r>
    </w:p>
    <w:p>
      <w:pPr>
        <w:pStyle w:val="ListNumber"/>
      </w:pPr>
      <w:r>
        <w:rPr>
          <w:color w:val="1A1A1A"/>
          <w:sz w:val="19"/>
        </w:rPr>
        <w:t>On approval, accruals begin; claims are settled against the promotion.</w:t>
      </w:r>
    </w:p>
    <w:p>
      <w:pPr>
        <w:pStyle w:val="Heading2"/>
      </w:pPr>
      <w:r>
        <w:rPr>
          <w:b/>
          <w:color w:val="1F2A44"/>
          <w:sz w:val="25"/>
        </w:rPr>
        <w:t>Approvals</w:t>
      </w:r>
    </w:p>
    <w:p>
      <w:pPr>
        <w:pStyle w:val="ListBullet"/>
      </w:pPr>
      <w:r>
        <w:rPr>
          <w:b w:val="0"/>
          <w:color w:val="1A1A1A"/>
          <w:sz w:val="19"/>
        </w:rPr>
        <w:t>Promotion funding/approval chain (configurable).</w:t>
      </w:r>
    </w:p>
    <w:p>
      <w:pPr>
        <w:pStyle w:val="Heading2"/>
      </w:pPr>
      <w:r>
        <w:rPr>
          <w:b/>
          <w:color w:val="1F2A44"/>
          <w:sz w:val="25"/>
        </w:rPr>
        <w:t>Outputs</w:t>
      </w:r>
    </w:p>
    <w:p>
      <w:pPr>
        <w:pStyle w:val="ListBullet"/>
      </w:pPr>
      <w:r>
        <w:rPr>
          <w:b w:val="0"/>
          <w:color w:val="1A1A1A"/>
          <w:sz w:val="19"/>
        </w:rPr>
        <w:t>An approved promotion with accruals and a claim/settlement trail; ROI in the dashboard.</w:t>
      </w:r>
    </w:p>
    <w:p>
      <w:pPr>
        <w:pStyle w:val="Heading2"/>
      </w:pPr>
      <w:r>
        <w:rPr>
          <w:b/>
          <w:color w:val="1F2A44"/>
          <w:sz w:val="25"/>
        </w:rPr>
        <w:t>Exceptions</w:t>
      </w:r>
    </w:p>
    <w:p>
      <w:pPr>
        <w:pStyle w:val="ListBullet"/>
      </w:pPr>
      <w:r>
        <w:rPr>
          <w:b w:val="0"/>
          <w:color w:val="1A1A1A"/>
          <w:sz w:val="19"/>
        </w:rPr>
        <w:t>Inert until the env flag is set (page returns notFound). No campaigns → empty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