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2A44"/>
          <w:sz w:val="68"/>
        </w:rPr>
        <w:t>VANTORA</w:t>
      </w:r>
    </w:p>
    <w:p>
      <w:pPr>
        <w:jc w:val="center"/>
      </w:pPr>
      <w:r>
        <w:rPr>
          <w:b/>
          <w:color w:val="1F2A44"/>
          <w:sz w:val="40"/>
        </w:rPr>
        <w:t>SOP-08: Create Change Request</w:t>
      </w:r>
    </w:p>
    <w:p>
      <w:pPr>
        <w:jc w:val="center"/>
      </w:pPr>
      <w:r>
        <w:rPr>
          <w:color w:val="555555"/>
          <w:sz w:val="24"/>
        </w:rPr>
        <w:t>Standard Operating Procedure</w:t>
      </w:r>
    </w:p>
    <w:p/>
    <w:p>
      <w:pPr>
        <w:jc w:val="center"/>
      </w:pPr>
      <w:r>
        <w:rPr>
          <w:i/>
          <w:color w:val="555555"/>
          <w:sz w:val="18"/>
        </w:rPr>
        <w:t>VANTORA Handbook — SOP  ·  Edition 1.0  ·  June 2026</w:t>
      </w:r>
    </w:p>
    <w:p>
      <w:pPr>
        <w:jc w:val="center"/>
      </w:pPr>
      <w:r>
        <w:rPr>
          <w:color w:val="555555"/>
          <w:sz w:val="17"/>
        </w:rPr>
        <w:t>Evidence-based. Documents existing features, verified capabilities, and clearly-marked roadmap items only.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32"/>
        </w:rPr>
        <w:t>SOP-08 — Create Change Request</w:t>
      </w:r>
    </w:p>
    <w:p>
      <w:r>
        <w:rPr>
          <w:b/>
          <w:sz w:val="18"/>
        </w:rPr>
        <w:t xml:space="preserve">Status: </w:t>
      </w:r>
      <w:r>
        <w:rPr>
          <w:b/>
          <w:color w:val="1B4F9E"/>
          <w:sz w:val="18"/>
        </w:rPr>
        <w:t>Implemented</w:t>
      </w:r>
    </w:p>
    <w:p>
      <w:pPr>
        <w:pStyle w:val="Heading2"/>
      </w:pPr>
      <w:r>
        <w:rPr>
          <w:b/>
          <w:color w:val="1F2A44"/>
          <w:sz w:val="25"/>
        </w:rPr>
        <w:t>Objective</w:t>
      </w:r>
    </w:p>
    <w:p>
      <w:r>
        <w:rPr>
          <w:b w:val="0"/>
          <w:i w:val="0"/>
          <w:color w:val="1A1A1A"/>
          <w:sz w:val="20"/>
        </w:rPr>
        <w:t>Perform 'Create Change Request' correctly and consistently in the Change Requests module.</w:t>
      </w:r>
    </w:p>
    <w:p>
      <w:pPr>
        <w:pStyle w:val="Heading2"/>
      </w:pPr>
      <w:r>
        <w:rPr>
          <w:b/>
          <w:color w:val="1F2A44"/>
          <w:sz w:val="25"/>
        </w:rPr>
        <w:t>Responsible Role</w:t>
      </w:r>
    </w:p>
    <w:p>
      <w:r>
        <w:rPr>
          <w:b w:val="0"/>
          <w:i w:val="0"/>
          <w:color w:val="1A1A1A"/>
          <w:sz w:val="20"/>
        </w:rPr>
        <w:t>Sales Rep / Supervisor</w:t>
      </w:r>
    </w:p>
    <w:p>
      <w:pPr>
        <w:pStyle w:val="Heading2"/>
      </w:pPr>
      <w:r>
        <w:rPr>
          <w:b/>
          <w:color w:val="1F2A44"/>
          <w:sz w:val="25"/>
        </w:rPr>
        <w:t>Steps</w:t>
      </w:r>
    </w:p>
    <w:p>
      <w:pPr>
        <w:pStyle w:val="ListNumber"/>
      </w:pPr>
      <w:r>
        <w:rPr>
          <w:color w:val="1A1A1A"/>
          <w:sz w:val="19"/>
        </w:rPr>
        <w:t>Open Change Requests (requires KAKO_CHANGE_REQUESTS).</w:t>
      </w:r>
    </w:p>
    <w:p>
      <w:pPr>
        <w:pStyle w:val="ListNumber"/>
      </w:pPr>
      <w:r>
        <w:rPr>
          <w:color w:val="1A1A1A"/>
          <w:sz w:val="19"/>
        </w:rPr>
        <w:t>Choose the target (customer data / GPS / VAT / credit).</w:t>
      </w:r>
    </w:p>
    <w:p>
      <w:pPr>
        <w:pStyle w:val="ListNumber"/>
      </w:pPr>
      <w:r>
        <w:rPr>
          <w:color w:val="1A1A1A"/>
          <w:sz w:val="19"/>
        </w:rPr>
        <w:t>Enter the proposed value + reason.</w:t>
      </w:r>
    </w:p>
    <w:p>
      <w:pPr>
        <w:pStyle w:val="ListNumber"/>
      </w:pPr>
      <w:r>
        <w:rPr>
          <w:color w:val="1A1A1A"/>
          <w:sz w:val="19"/>
        </w:rPr>
        <w:t>Submit; the approval chain routes it for decision.</w:t>
      </w:r>
    </w:p>
    <w:p>
      <w:pPr>
        <w:pStyle w:val="Heading2"/>
      </w:pPr>
      <w:r>
        <w:rPr>
          <w:b/>
          <w:color w:val="1F2A44"/>
          <w:sz w:val="25"/>
        </w:rPr>
        <w:t>Approvals</w:t>
      </w:r>
    </w:p>
    <w:p>
      <w:pPr>
        <w:pStyle w:val="ListBullet"/>
      </w:pPr>
      <w:r>
        <w:rPr>
          <w:b w:val="0"/>
          <w:color w:val="1A1A1A"/>
          <w:sz w:val="19"/>
        </w:rPr>
        <w:t>Approval chain by change type (e.g. credit changes → credit controller/admin).</w:t>
      </w:r>
    </w:p>
    <w:p>
      <w:pPr>
        <w:pStyle w:val="Heading2"/>
      </w:pPr>
      <w:r>
        <w:rPr>
          <w:b/>
          <w:color w:val="1F2A44"/>
          <w:sz w:val="25"/>
        </w:rPr>
        <w:t>Outputs</w:t>
      </w:r>
    </w:p>
    <w:p>
      <w:pPr>
        <w:pStyle w:val="ListBullet"/>
      </w:pPr>
      <w:r>
        <w:rPr>
          <w:b w:val="0"/>
          <w:color w:val="1A1A1A"/>
          <w:sz w:val="19"/>
        </w:rPr>
        <w:t>A governed change to master data after approval, fully audited.</w:t>
      </w:r>
    </w:p>
    <w:p>
      <w:pPr>
        <w:pStyle w:val="Heading2"/>
      </w:pPr>
      <w:r>
        <w:rPr>
          <w:b/>
          <w:color w:val="1F2A44"/>
          <w:sz w:val="25"/>
        </w:rPr>
        <w:t>Exceptions</w:t>
      </w:r>
    </w:p>
    <w:p>
      <w:pPr>
        <w:pStyle w:val="ListBullet"/>
      </w:pPr>
      <w:r>
        <w:rPr>
          <w:b w:val="0"/>
          <w:color w:val="1A1A1A"/>
          <w:sz w:val="19"/>
        </w:rPr>
        <w:t>Hidden until the env flag is on. Invalid values rejected by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