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SOP-09: Perform Inventory Count</w:t>
      </w:r>
    </w:p>
    <w:p>
      <w:pPr>
        <w:jc w:val="center"/>
      </w:pPr>
      <w:r>
        <w:rPr>
          <w:color w:val="555555"/>
          <w:sz w:val="24"/>
        </w:rPr>
        <w:t>Standard Operating Procedure</w:t>
      </w:r>
    </w:p>
    <w:p/>
    <w:p>
      <w:pPr>
        <w:jc w:val="center"/>
      </w:pPr>
      <w:r>
        <w:rPr>
          <w:i/>
          <w:color w:val="555555"/>
          <w:sz w:val="18"/>
        </w:rPr>
        <w:t>VANTORA Handbook — SOP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SOP-09 — Perform Inventory Count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2"/>
      </w:pPr>
      <w:r>
        <w:rPr>
          <w:b/>
          <w:color w:val="1F2A44"/>
          <w:sz w:val="25"/>
        </w:rPr>
        <w:t>Objective</w:t>
      </w:r>
    </w:p>
    <w:p>
      <w:r>
        <w:rPr>
          <w:b w:val="0"/>
          <w:i w:val="0"/>
          <w:color w:val="1A1A1A"/>
          <w:sz w:val="20"/>
        </w:rPr>
        <w:t>Perform 'Perform Inventory Count' correctly and consistently in the Inventory module.</w:t>
      </w:r>
    </w:p>
    <w:p>
      <w:pPr>
        <w:pStyle w:val="Heading2"/>
      </w:pPr>
      <w:r>
        <w:rPr>
          <w:b/>
          <w:color w:val="1F2A44"/>
          <w:sz w:val="25"/>
        </w:rPr>
        <w:t>Responsible Role</w:t>
      </w:r>
    </w:p>
    <w:p>
      <w:r>
        <w:rPr>
          <w:b w:val="0"/>
          <w:i w:val="0"/>
          <w:color w:val="1A1A1A"/>
          <w:sz w:val="20"/>
        </w:rPr>
        <w:t>Warehouse Keeper</w:t>
      </w:r>
    </w:p>
    <w:p>
      <w:pPr>
        <w:pStyle w:val="Heading2"/>
      </w:pPr>
      <w:r>
        <w:rPr>
          <w:b/>
          <w:color w:val="1F2A44"/>
          <w:sz w:val="25"/>
        </w:rPr>
        <w:t>Steps</w:t>
      </w:r>
    </w:p>
    <w:p>
      <w:pPr>
        <w:pStyle w:val="ListNumber"/>
      </w:pPr>
      <w:r>
        <w:rPr>
          <w:color w:val="1A1A1A"/>
          <w:sz w:val="19"/>
        </w:rPr>
        <w:t>Open Inventory → Stock Count.</w:t>
      </w:r>
    </w:p>
    <w:p>
      <w:pPr>
        <w:pStyle w:val="ListNumber"/>
      </w:pPr>
      <w:r>
        <w:rPr>
          <w:color w:val="1A1A1A"/>
          <w:sz w:val="19"/>
        </w:rPr>
        <w:t>Create a count for a warehouse/scope.</w:t>
      </w:r>
    </w:p>
    <w:p>
      <w:pPr>
        <w:pStyle w:val="ListNumber"/>
      </w:pPr>
      <w:r>
        <w:rPr>
          <w:color w:val="1A1A1A"/>
          <w:sz w:val="19"/>
        </w:rPr>
        <w:t>Enter counted quantities.</w:t>
      </w:r>
    </w:p>
    <w:p>
      <w:pPr>
        <w:pStyle w:val="ListNumber"/>
      </w:pPr>
      <w:r>
        <w:rPr>
          <w:color w:val="1A1A1A"/>
          <w:sz w:val="19"/>
        </w:rPr>
        <w:t>Post; adjustments reconcile system vs counted stock.</w:t>
      </w:r>
    </w:p>
    <w:p>
      <w:pPr>
        <w:pStyle w:val="Heading2"/>
      </w:pPr>
      <w:r>
        <w:rPr>
          <w:b/>
          <w:color w:val="1F2A44"/>
          <w:sz w:val="25"/>
        </w:rPr>
        <w:t>Approvals</w:t>
      </w:r>
    </w:p>
    <w:p>
      <w:pPr>
        <w:pStyle w:val="ListBullet"/>
      </w:pPr>
      <w:r>
        <w:rPr>
          <w:b w:val="0"/>
          <w:color w:val="1A1A1A"/>
          <w:sz w:val="19"/>
        </w:rPr>
        <w:t>Variance approval where configured.</w:t>
      </w:r>
    </w:p>
    <w:p>
      <w:pPr>
        <w:pStyle w:val="Heading2"/>
      </w:pPr>
      <w:r>
        <w:rPr>
          <w:b/>
          <w:color w:val="1F2A44"/>
          <w:sz w:val="25"/>
        </w:rPr>
        <w:t>Outputs</w:t>
      </w:r>
    </w:p>
    <w:p>
      <w:pPr>
        <w:pStyle w:val="ListBullet"/>
      </w:pPr>
      <w:r>
        <w:rPr>
          <w:b w:val="0"/>
          <w:color w:val="1A1A1A"/>
          <w:sz w:val="19"/>
        </w:rPr>
        <w:t>A reconciled stock position with adjustment movements and an audit trail.</w:t>
      </w:r>
    </w:p>
    <w:p>
      <w:pPr>
        <w:pStyle w:val="Heading2"/>
      </w:pPr>
      <w:r>
        <w:rPr>
          <w:b/>
          <w:color w:val="1F2A44"/>
          <w:sz w:val="25"/>
        </w:rPr>
        <w:t>Exceptions</w:t>
      </w:r>
    </w:p>
    <w:p>
      <w:pPr>
        <w:pStyle w:val="ListBullet"/>
      </w:pPr>
      <w:r>
        <w:rPr>
          <w:b w:val="0"/>
          <w:color w:val="1A1A1A"/>
          <w:sz w:val="19"/>
        </w:rPr>
        <w:t>Open counts block conflicting movements. Large variances → investigate before posting.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