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Environment Inventory &amp; Alignment Audit — FMCG Pilot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Environment Inventory &amp; Alignment Audit — FMCG Pilot</w:t>
      </w:r>
    </w:p>
    <w:p>
      <w:r>
        <w:t>Governance audit of all Supabase projects and their alignment to the FMCG pilot, before any</w:t>
      </w:r>
    </w:p>
    <w:p>
      <w:r>
        <w:t>further fixes. Every row below is from a direct runtime probe (table existence + user/tenant</w:t>
      </w:r>
    </w:p>
    <w:p>
      <w:r>
        <w:t xml:space="preserve">markers), not inference. Official source of truth: </w:t>
      </w:r>
      <w:r>
        <w:rPr>
          <w:b/>
        </w:rPr>
        <w:t>vantora-staging</w:t>
      </w:r>
      <w:r>
        <w:t>.</w:t>
      </w:r>
    </w:p>
    <w:p>
      <w:pPr>
        <w:pStyle w:val="Heading2"/>
      </w:pPr>
      <w:r>
        <w:rPr>
          <w:color w:val="1F497D"/>
        </w:rPr>
        <w:t xml:space="preserve">1. All Supabase projects in the organization (org </w:t>
      </w:r>
      <w:r>
        <w:rPr>
          <w:rFonts w:ascii="Consolas" w:hAnsi="Consolas"/>
          <w:color w:val="1F497D"/>
          <w:sz w:val="19"/>
        </w:rPr>
        <w:t>jokszanzlgcsecfnztvk</w:t>
      </w:r>
      <w:r>
        <w:rPr>
          <w:color w:val="1F497D"/>
        </w:rP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Project (ref)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Created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ERP schema?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FMCG suite?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Users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rsjvgehvastmawzwnqcs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vantora-staging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Yes (full)</w:t>
            </w:r>
          </w:p>
        </w:tc>
        <w:tc>
          <w:tcPr>
            <w:tcW w:type="dxa" w:w="1440"/>
          </w:tcPr>
          <w:p>
            <w:r>
              <w:t>9 pilot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nrvydmkxjnctdlaxdhur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kako-fmcg</w:t>
            </w:r>
          </w:p>
        </w:tc>
        <w:tc>
          <w:tcPr>
            <w:tcW w:type="dxa" w:w="1440"/>
          </w:tcPr>
          <w:p>
            <w:r>
              <w:t>2026-05-28</w:t>
            </w:r>
          </w:p>
        </w:tc>
        <w:tc>
          <w:tcPr>
            <w:tcW w:type="dxa" w:w="1440"/>
          </w:tcPr>
          <w:p>
            <w:r>
              <w:t>Yes (base)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</w:t>
            </w:r>
          </w:p>
        </w:tc>
        <w:tc>
          <w:tcPr>
            <w:tcW w:type="dxa" w:w="1440"/>
          </w:tcPr>
          <w:p>
            <w:r>
              <w:t>62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qulukfxuaklhcztchrbv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field-insights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njgjrktszvogivhbplbn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near-expiry-roshen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</w:tbl>
    <w:p/>
    <w:p>
      <w:pPr>
        <w:pStyle w:val="Heading2"/>
      </w:pPr>
      <w:r>
        <w:rPr>
          <w:color w:val="1F497D"/>
        </w:rPr>
        <w:t>2. Purpose of each environment</w:t>
      </w:r>
    </w:p>
    <w:p>
      <w:pPr>
        <w:pStyle w:val="ListBullet"/>
      </w:pPr>
      <w:r>
        <w:rPr>
          <w:b/>
        </w:rPr>
        <w:t>vantora-staging</w:t>
      </w:r>
      <w:r>
        <w:t xml:space="preserve"> (</w:t>
      </w:r>
      <w:r>
        <w:rPr>
          <w:rFonts w:ascii="Consolas" w:hAnsi="Consolas"/>
          <w:sz w:val="19"/>
        </w:rPr>
        <w:t>rsjvgehvastmawzwnqcs</w:t>
      </w:r>
      <w:r>
        <w:t xml:space="preserve">) — </w:t>
      </w:r>
      <w:r>
        <w:rPr>
          <w:b/>
        </w:rPr>
        <w:t>Staging / FMCG pilot source of truth.</w:t>
      </w:r>
      <w:r>
        <w:t xml:space="preserve"> Holds</w:t>
      </w:r>
    </w:p>
    <w:p>
      <w:r>
        <w:t>the full FMCG van-sales suite, the pilot tenant, all flags, and the 8 pilot role accounts.</w:t>
      </w:r>
    </w:p>
    <w:p>
      <w:pPr>
        <w:pStyle w:val="ListBullet"/>
      </w:pPr>
      <w:r>
        <w:rPr>
          <w:b/>
        </w:rPr>
        <w:t>kako-fmcg</w:t>
      </w:r>
      <w:r>
        <w:t xml:space="preserve"> (</w:t>
      </w:r>
      <w:r>
        <w:rPr>
          <w:rFonts w:ascii="Consolas" w:hAnsi="Consolas"/>
          <w:sz w:val="19"/>
        </w:rPr>
        <w:t>nrvydmkxjnctdlaxdhur</w:t>
      </w:r>
      <w:r>
        <w:t xml:space="preserve">) — </w:t>
      </w:r>
      <w:r>
        <w:rPr>
          <w:b/>
        </w:rPr>
        <w:t>Base/older ERP</w:t>
      </w:r>
      <w:r>
        <w:t xml:space="preserve"> (companies + roles, 62 users) </w:t>
      </w:r>
      <w:r>
        <w:rPr>
          <w:b/>
        </w:rPr>
        <w:t>without</w:t>
      </w:r>
    </w:p>
    <w:p>
      <w:r>
        <w:t>the FMCG van-sales suite. Created earlier (2026-05-28). Most consistent with the kako app's</w:t>
      </w:r>
    </w:p>
    <w:p>
      <w:r>
        <w:t xml:space="preserve">original/production-line database; </w:t>
      </w:r>
      <w:r>
        <w:rPr>
          <w:b/>
        </w:rPr>
        <w:t>not</w:t>
      </w:r>
      <w:r>
        <w:t xml:space="preserve"> carrying the FMCG pilot migrations.</w:t>
      </w:r>
    </w:p>
    <w:p>
      <w:pPr>
        <w:pStyle w:val="ListBullet"/>
      </w:pPr>
      <w:r>
        <w:rPr>
          <w:b/>
        </w:rPr>
        <w:t>field-insights</w:t>
      </w:r>
      <w:r>
        <w:t xml:space="preserve"> (</w:t>
      </w:r>
      <w:r>
        <w:rPr>
          <w:rFonts w:ascii="Consolas" w:hAnsi="Consolas"/>
          <w:sz w:val="19"/>
        </w:rPr>
        <w:t>qulukfxuaklhcztchrbv</w:t>
      </w:r>
      <w:r>
        <w:t xml:space="preserve">) — </w:t>
      </w:r>
      <w:r>
        <w:rPr>
          <w:b/>
        </w:rPr>
        <w:t>Separate product</w:t>
      </w:r>
      <w:r>
        <w:t xml:space="preserve"> ("Field Insights" app; its own</w:t>
      </w:r>
    </w:p>
    <w:p>
      <w:r>
        <w:t>32-table schema, 0 users, no ERP). This is the unrelated monorepo subproject whose Vercel builds</w:t>
      </w:r>
    </w:p>
    <w:p>
      <w:r>
        <w:t xml:space="preserve">fail independently. </w:t>
      </w:r>
      <w:r>
        <w:rPr>
          <w:b/>
        </w:rPr>
        <w:t>Out of scope</w:t>
      </w:r>
      <w:r>
        <w:t xml:space="preserve"> for the FMCG pilot.</w:t>
      </w:r>
    </w:p>
    <w:p>
      <w:pPr>
        <w:pStyle w:val="ListBullet"/>
      </w:pPr>
      <w:r>
        <w:rPr>
          <w:b/>
        </w:rPr>
        <w:t>near-expiry-roshen</w:t>
      </w:r>
      <w:r>
        <w:t xml:space="preserve"> (</w:t>
      </w:r>
      <w:r>
        <w:rPr>
          <w:rFonts w:ascii="Consolas" w:hAnsi="Consolas"/>
          <w:sz w:val="19"/>
        </w:rPr>
        <w:t>njgjrktszvogivhbplbn</w:t>
      </w:r>
      <w:r>
        <w:t xml:space="preserve">) — </w:t>
      </w:r>
      <w:r>
        <w:rPr>
          <w:b/>
        </w:rPr>
        <w:t>Separate demo/experimental</w:t>
      </w:r>
      <w:r>
        <w:t xml:space="preserve"> (pharmacy /</w:t>
      </w:r>
    </w:p>
    <w:p>
      <w:r>
        <w:t xml:space="preserve">near-expiry, "Roshen"; 27 tables, 80 users, no ERP). </w:t>
      </w:r>
      <w:r>
        <w:rPr>
          <w:b/>
        </w:rPr>
        <w:t>Out of scope.</w:t>
      </w:r>
    </w:p>
    <w:p>
      <w:pPr>
        <w:pStyle w:val="Heading2"/>
      </w:pPr>
      <w:r>
        <w:rPr>
          <w:color w:val="1F497D"/>
        </w:rPr>
        <w:t>3. Vercel → Supabase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Vercel project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Deployment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Supabase backend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kako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prj_5Ksx…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Preview</w:t>
            </w:r>
            <w:r>
              <w:t xml:space="preserve"> (branch </w:t>
            </w:r>
            <w:r>
              <w:rPr>
                <w:rFonts w:ascii="Consolas" w:hAnsi="Consolas"/>
                <w:sz w:val="19"/>
              </w:rPr>
              <w:t>claude/fmcg-sell-collect-loop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vantora-staging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Verified</w:t>
            </w:r>
            <w:r>
              <w:t xml:space="preserve"> — runtime logs show pilot-company customer IDs (Al Nour, El Salam, Family Supermarket, City Mini, Corner Shop @ </w:t>
            </w:r>
            <w:r>
              <w:rPr>
                <w:rFonts w:ascii="Consolas" w:hAnsi="Consolas"/>
                <w:sz w:val="19"/>
              </w:rPr>
              <w:t>612af0bd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kako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prj_5Ksx…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kako-gamma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kako-git-main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kako-fmcg</w:t>
            </w:r>
            <w:r>
              <w:t xml:space="preserve"> *(inferred)*</w:t>
            </w:r>
          </w:p>
        </w:tc>
        <w:tc>
          <w:tcPr>
            <w:tcW w:type="dxa" w:w="2160"/>
          </w:tcPr>
          <w:p>
            <w:r>
              <w:t xml:space="preserve">⚠️ </w:t>
            </w:r>
            <w:r>
              <w:rPr>
                <w:b/>
              </w:rPr>
              <w:t>Not verified</w:t>
            </w:r>
            <w:r>
              <w:t xml:space="preserve"> — production env vars not readable via API; inferred from project naming + base-ERP schema. Owner should confirm </w:t>
            </w:r>
            <w:r>
              <w:rPr>
                <w:rFonts w:ascii="Consolas" w:hAnsi="Consolas"/>
                <w:sz w:val="19"/>
              </w:rPr>
              <w:t>NEXT_PUBLIC_SUPABASE_URL</w:t>
            </w:r>
            <w:r>
              <w:t xml:space="preserve"> on the Production env.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field-insights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prj_5oc2…</w:t>
            </w:r>
            <w:r>
              <w:t>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field-insights</w:t>
            </w:r>
          </w:p>
        </w:tc>
        <w:tc>
          <w:tcPr>
            <w:tcW w:type="dxa" w:w="2160"/>
          </w:tcPr>
          <w:p>
            <w:r>
              <w:t>Separate product</w:t>
            </w:r>
          </w:p>
        </w:tc>
      </w:tr>
    </w:tbl>
    <w:p/>
    <w:p>
      <w:r>
        <w:rPr>
          <w:b/>
        </w:rPr>
        <w:t>The pilot is being tested on the Preview deployment → vantora-staging. Confirmed.</w:t>
      </w:r>
    </w:p>
    <w:p>
      <w:pPr>
        <w:pStyle w:val="Heading2"/>
      </w:pPr>
      <w:r>
        <w:rPr>
          <w:color w:val="1F497D"/>
        </w:rPr>
        <w:t>4. What each environment contains (probed)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Marker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vantora-staging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kako-fmcg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field-insights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near-expiry-roshen</w:t>
            </w:r>
          </w:p>
        </w:tc>
      </w:tr>
      <w:tr>
        <w:tc>
          <w:tcPr>
            <w:tcW w:type="dxa" w:w="1728"/>
          </w:tcPr>
          <w:p>
            <w:r>
              <w:t>FMCG/ERP schema (</w:t>
            </w:r>
            <w:r>
              <w:rPr>
                <w:rFonts w:ascii="Consolas" w:hAnsi="Consolas"/>
                <w:sz w:val="19"/>
              </w:rPr>
              <w:t>erp_companies</w:t>
            </w:r>
            <w:r>
              <w:t>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 (base)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Van Sales (</w:t>
            </w:r>
            <w:r>
              <w:rPr>
                <w:rFonts w:ascii="Consolas" w:hAnsi="Consolas"/>
                <w:sz w:val="19"/>
              </w:rPr>
              <w:t>erp_van_sales_settings</w:t>
            </w:r>
            <w:r>
              <w:t>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Feature flags (</w:t>
            </w:r>
            <w:r>
              <w:rPr>
                <w:rFonts w:ascii="Consolas" w:hAnsi="Consolas"/>
                <w:sz w:val="19"/>
              </w:rPr>
              <w:t>erp_feature_flags</w:t>
            </w:r>
            <w:r>
              <w:t>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Day-Close (</w:t>
            </w:r>
            <w:r>
              <w:rPr>
                <w:rFonts w:ascii="Consolas" w:hAnsi="Consolas"/>
                <w:sz w:val="19"/>
              </w:rPr>
              <w:t>erp_day_close_requests</w:t>
            </w:r>
            <w:r>
              <w:t>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Return-Approval (</w:t>
            </w:r>
            <w:r>
              <w:rPr>
                <w:rFonts w:ascii="Consolas" w:hAnsi="Consolas"/>
                <w:sz w:val="19"/>
              </w:rPr>
              <w:t>erp_return_approval_policies</w:t>
            </w:r>
            <w:r>
              <w:t>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Pilot tenant (</w:t>
            </w:r>
            <w:r>
              <w:rPr>
                <w:rFonts w:ascii="Consolas" w:hAnsi="Consolas"/>
                <w:sz w:val="19"/>
              </w:rPr>
              <w:t>612af0bd</w:t>
            </w:r>
            <w:r>
              <w:t>)</w:t>
            </w:r>
          </w:p>
        </w:tc>
        <w:tc>
          <w:tcPr>
            <w:tcW w:type="dxa" w:w="1728"/>
          </w:tcPr>
          <w:p>
            <w:r>
              <w:t>✅ (1)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Pilot users (</w:t>
            </w:r>
            <w:r>
              <w:rPr>
                <w:rFonts w:ascii="Consolas" w:hAnsi="Consolas"/>
                <w:sz w:val="19"/>
              </w:rPr>
              <w:t>@pilot.test</w:t>
            </w:r>
            <w:r>
              <w:t>)</w:t>
            </w:r>
          </w:p>
        </w:tc>
        <w:tc>
          <w:tcPr>
            <w:tcW w:type="dxa" w:w="1728"/>
          </w:tcPr>
          <w:p>
            <w:r>
              <w:t>✅ (8+viewer)</w:t>
            </w:r>
          </w:p>
        </w:tc>
        <w:tc>
          <w:tcPr>
            <w:tcW w:type="dxa" w:w="1728"/>
          </w:tcPr>
          <w:p>
            <w:r>
              <w:t>❌ (0)</w:t>
            </w:r>
          </w:p>
        </w:tc>
        <w:tc>
          <w:tcPr>
            <w:tcW w:type="dxa" w:w="1728"/>
          </w:tcPr>
          <w:p>
            <w:r>
              <w:t>❌ (0)</w:t>
            </w:r>
          </w:p>
        </w:tc>
        <w:tc>
          <w:tcPr>
            <w:tcW w:type="dxa" w:w="1728"/>
          </w:tcPr>
          <w:p>
            <w:r>
              <w:t>❌ (0)</w:t>
            </w:r>
          </w:p>
        </w:tc>
      </w:tr>
    </w:tbl>
    <w:p/>
    <w:p>
      <w:pPr>
        <w:pStyle w:val="Heading2"/>
      </w:pPr>
      <w:r>
        <w:rPr>
          <w:color w:val="1F497D"/>
        </w:rPr>
        <w:t>5. Official source of truth</w:t>
      </w:r>
    </w:p>
    <w:p>
      <w:r>
        <w:rPr>
          <w:b/>
        </w:rPr>
        <w:t>vantora-staging (`rsjvgehvastmawzwnqcs`)</w:t>
      </w:r>
      <w:r>
        <w:t xml:space="preserve"> — the only environment with the complete FMCG suite,</w:t>
      </w:r>
    </w:p>
    <w:p>
      <w:r>
        <w:t>the pilot tenant, the flags, and the pilot users; and the verified backend of the Preview</w:t>
      </w:r>
    </w:p>
    <w:p>
      <w:r>
        <w:t>deployment under test. All FMCG pilot work (migrations 0265→0334, V1, D1, flags, role config,</w:t>
      </w:r>
    </w:p>
    <w:p>
      <w:r>
        <w:t>defect fixes) lives here.</w:t>
      </w:r>
    </w:p>
    <w:p>
      <w:pPr>
        <w:pStyle w:val="Heading2"/>
      </w:pPr>
      <w:r>
        <w:rPr>
          <w:color w:val="1F497D"/>
        </w:rPr>
        <w:t>Environment Alignment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Active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Receives Fixes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Receives Pilot Changes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vantora-staging</w:t>
            </w:r>
          </w:p>
        </w:tc>
        <w:tc>
          <w:tcPr>
            <w:tcW w:type="dxa" w:w="1440"/>
          </w:tcPr>
          <w:p>
            <w:r>
              <w:t xml:space="preserve">Staging / FMCG pilot </w:t>
            </w:r>
            <w:r>
              <w:rPr>
                <w:b/>
              </w:rPr>
              <w:t>source of truth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Yes</w:t>
            </w:r>
          </w:p>
        </w:tc>
        <w:tc>
          <w:tcPr>
            <w:tcW w:type="dxa" w:w="1440"/>
          </w:tcPr>
          <w:p>
            <w:r>
              <w:t xml:space="preserve">✅ </w:t>
            </w:r>
            <w:r>
              <w:rPr>
                <w:b/>
              </w:rPr>
              <w:t>Aligned (canonical)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kako-fmcg</w:t>
            </w:r>
          </w:p>
        </w:tc>
        <w:tc>
          <w:tcPr>
            <w:tcW w:type="dxa" w:w="1440"/>
          </w:tcPr>
          <w:p>
            <w:r>
              <w:t>Base/older ERP (likely Production target)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 (pilot phase)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 xml:space="preserve">⚠️ </w:t>
            </w:r>
            <w:r>
              <w:rPr>
                <w:b/>
              </w:rPr>
              <w:t>Out of sync</w:t>
            </w:r>
            <w:r>
              <w:t xml:space="preserve"> — lacks the entire FMCG suite; sync only at production rollout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field-insights</w:t>
            </w:r>
          </w:p>
        </w:tc>
        <w:tc>
          <w:tcPr>
            <w:tcW w:type="dxa" w:w="1440"/>
          </w:tcPr>
          <w:p>
            <w:r>
              <w:t>Separate product (Field Insights)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 xml:space="preserve">⛔ </w:t>
            </w:r>
            <w:r>
              <w:rPr>
                <w:b/>
              </w:rPr>
              <w:t>Separate / out of scope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near-expiry-roshen</w:t>
            </w:r>
          </w:p>
        </w:tc>
        <w:tc>
          <w:tcPr>
            <w:tcW w:type="dxa" w:w="1440"/>
          </w:tcPr>
          <w:p>
            <w:r>
              <w:t>Separate demo (pharmacy/Roshen)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 xml:space="preserve">⛔ </w:t>
            </w:r>
            <w:r>
              <w:rPr>
                <w:b/>
              </w:rPr>
              <w:t>Separate / out of scope</w:t>
            </w:r>
          </w:p>
        </w:tc>
      </w:tr>
    </w:tbl>
    <w:p/>
    <w:p>
      <w:pPr>
        <w:pStyle w:val="Heading2"/>
      </w:pPr>
      <w:r>
        <w:rPr>
          <w:color w:val="1F497D"/>
        </w:rPr>
        <w:t>Out-of-sync findings</w:t>
      </w:r>
    </w:p>
    <w:p>
      <w:pPr>
        <w:pStyle w:val="ListNumber"/>
      </w:pPr>
      <w:r>
        <w:rPr>
          <w:b/>
        </w:rPr>
        <w:t>kako-fmcg has none of the FMCG van-sales suite</w:t>
      </w:r>
      <w:r>
        <w:t xml:space="preserve"> (no van-sales, flags, day-close,</w:t>
      </w:r>
    </w:p>
    <w:p>
      <w:r>
        <w:t xml:space="preserve">return-approval tables; no pilot tenant/users). If kako-fmcg is the kako </w:t>
      </w:r>
      <w:r>
        <w:rPr>
          <w:b/>
        </w:rPr>
        <w:t>Production</w:t>
      </w:r>
      <w:r>
        <w:t xml:space="preserve"> DB,</w:t>
      </w:r>
    </w:p>
    <w:p>
      <w:r>
        <w:t xml:space="preserve">then </w:t>
      </w:r>
      <w:r>
        <w:rPr>
          <w:b/>
        </w:rPr>
        <w:t>Production is behind Staging by the entire FMCG migration set</w:t>
      </w:r>
      <w:r>
        <w:t xml:space="preserve"> (0265→0334). This is</w:t>
      </w:r>
    </w:p>
    <w:p>
      <w:r>
        <w:t>expected during an online-first pilot (pilot runs on staging), **but must be addressed before</w:t>
      </w:r>
    </w:p>
    <w:p>
      <w:r>
        <w:t>any production rollout.**</w:t>
      </w:r>
    </w:p>
    <w:p>
      <w:pPr>
        <w:pStyle w:val="ListNumber"/>
      </w:pPr>
      <w:r>
        <w:rPr>
          <w:b/>
        </w:rPr>
        <w:t>Production Vercel → Supabase binding is unverified</w:t>
      </w:r>
      <w:r>
        <w:t xml:space="preserve"> (env vars not API-readable). The owner</w:t>
      </w:r>
    </w:p>
    <w:p>
      <w:r>
        <w:t xml:space="preserve">should confirm the Production env's </w:t>
      </w:r>
      <w:r>
        <w:rPr>
          <w:rFonts w:ascii="Consolas" w:hAnsi="Consolas"/>
          <w:sz w:val="19"/>
        </w:rPr>
        <w:t>NEXT_PUBLIC_SUPABASE_URL</w:t>
      </w:r>
      <w:r>
        <w:t>. If Production points at</w:t>
      </w:r>
    </w:p>
    <w:p>
      <w:r>
        <w:t>kako-fmcg, the FMCG features are simply absent there (not broken) until migrated.</w:t>
      </w:r>
    </w:p>
    <w:p>
      <w:pPr>
        <w:pStyle w:val="ListNumber"/>
      </w:pPr>
      <w:r>
        <w:rPr>
          <w:rFonts w:ascii="Consolas" w:hAnsi="Consolas"/>
          <w:sz w:val="19"/>
        </w:rPr>
        <w:t>field-insights</w:t>
      </w:r>
      <w:r>
        <w:t xml:space="preserve"> and </w:t>
      </w:r>
      <w:r>
        <w:rPr>
          <w:rFonts w:ascii="Consolas" w:hAnsi="Consolas"/>
          <w:sz w:val="19"/>
        </w:rPr>
        <w:t>near-expiry-roshen</w:t>
      </w:r>
      <w:r>
        <w:t xml:space="preserve"> are </w:t>
      </w:r>
      <w:r>
        <w:rPr>
          <w:b/>
        </w:rPr>
        <w:t>different products</w:t>
      </w:r>
      <w:r>
        <w:t xml:space="preserve"> — not out of sync; they</w:t>
      </w:r>
    </w:p>
    <w:p>
      <w:r>
        <w:t xml:space="preserve">must </w:t>
      </w:r>
      <w:r>
        <w:rPr>
          <w:b/>
        </w:rPr>
        <w:t>not</w:t>
      </w:r>
      <w:r>
        <w:t xml:space="preserve"> receive FMCG changes.</w:t>
      </w:r>
    </w:p>
    <w:p>
      <w:pPr>
        <w:pStyle w:val="Heading2"/>
      </w:pPr>
      <w:r>
        <w:rPr>
          <w:color w:val="1F497D"/>
        </w:rPr>
        <w:t>Governance rules (going forward)</w:t>
      </w:r>
    </w:p>
    <w:p>
      <w:pPr>
        <w:pStyle w:val="ListBullet"/>
      </w:pPr>
      <w:r>
        <w:rPr>
          <w:b/>
        </w:rPr>
        <w:t>Apply FMCG pilot fixes ONLY to vantora-staging.</w:t>
      </w:r>
      <w:r>
        <w:t xml:space="preserve"> (Already the case: V1/D1/flags/role-config</w:t>
      </w:r>
    </w:p>
    <w:p>
      <w:r>
        <w:t>are on vantora-staging; the DF-003 nav change is code, deployed to the Preview that reads</w:t>
      </w:r>
    </w:p>
    <w:p>
      <w:r>
        <w:t>vantora-staging.)</w:t>
      </w:r>
    </w:p>
    <w:p>
      <w:pPr>
        <w:pStyle w:val="ListBullet"/>
      </w:pPr>
      <w:r>
        <w:rPr>
          <w:b/>
        </w:rPr>
        <w:t>Never apply FMCG changes to field-insights or near-expiry-roshen</w:t>
      </w:r>
      <w:r>
        <w:t xml:space="preserve"> (separate products).</w:t>
      </w:r>
    </w:p>
    <w:p>
      <w:pPr>
        <w:pStyle w:val="ListBullet"/>
      </w:pPr>
      <w:r>
        <w:rPr>
          <w:b/>
        </w:rPr>
        <w:t>Do not blindly replicate</w:t>
      </w:r>
      <w:r>
        <w:t xml:space="preserve"> to kako-fmcg. Production sync is a deliberate, staged step (below).</w:t>
      </w:r>
    </w:p>
    <w:p>
      <w:pPr>
        <w:pStyle w:val="Heading2"/>
      </w:pPr>
      <w:r>
        <w:rPr>
          <w:color w:val="1F497D"/>
        </w:rPr>
        <w:t>Migration / synchronization plan (staging → production)</w:t>
      </w:r>
    </w:p>
    <w:p>
      <w:r>
        <w:rPr>
          <w:b/>
        </w:rPr>
        <w:t>Do this only when the pilot is signed off and a production rollout is approved — not now.</w:t>
      </w:r>
    </w:p>
    <w:p>
      <w:pPr>
        <w:pStyle w:val="ListNumber"/>
      </w:pPr>
      <w:r>
        <w:rPr>
          <w:b/>
        </w:rPr>
        <w:t>Confirm the production backend</w:t>
      </w:r>
      <w:r>
        <w:t xml:space="preserve"> — read the kako Production env </w:t>
      </w:r>
      <w:r>
        <w:rPr>
          <w:rFonts w:ascii="Consolas" w:hAnsi="Consolas"/>
          <w:sz w:val="19"/>
        </w:rPr>
        <w:t>NEXT_PUBLIC_SUPABASE_URL</w:t>
      </w:r>
    </w:p>
    <w:p>
      <w:r>
        <w:t xml:space="preserve">(owner/devops). Establish whether it is </w:t>
      </w:r>
      <w:r>
        <w:rPr>
          <w:rFonts w:ascii="Consolas" w:hAnsi="Consolas"/>
          <w:sz w:val="19"/>
        </w:rPr>
        <w:t>kako-fmcg</w:t>
      </w:r>
      <w:r>
        <w:t xml:space="preserve"> or another project.</w:t>
      </w:r>
    </w:p>
    <w:p>
      <w:pPr>
        <w:pStyle w:val="ListNumber"/>
      </w:pPr>
      <w:r>
        <w:rPr>
          <w:b/>
        </w:rPr>
        <w:t>Take a backup/snapshot</w:t>
      </w:r>
      <w:r>
        <w:t xml:space="preserve"> of the production DB before any schema change.</w:t>
      </w:r>
    </w:p>
    <w:p>
      <w:pPr>
        <w:pStyle w:val="ListNumber"/>
      </w:pPr>
      <w:r>
        <w:rPr>
          <w:b/>
        </w:rPr>
        <w:t>Apply the FMCG migration set in order</w:t>
      </w:r>
      <w:r>
        <w:t xml:space="preserve"> (</w:t>
      </w:r>
      <w:r>
        <w:rPr>
          <w:rFonts w:ascii="Consolas" w:hAnsi="Consolas"/>
          <w:sz w:val="19"/>
        </w:rPr>
        <w:t>0265</w:t>
      </w:r>
      <w:r>
        <w:t xml:space="preserve"> … </w:t>
      </w:r>
      <w:r>
        <w:rPr>
          <w:rFonts w:ascii="Consolas" w:hAnsi="Consolas"/>
          <w:sz w:val="19"/>
        </w:rPr>
        <w:t>0334</w:t>
      </w:r>
      <w:r>
        <w:t>) to the production project via the</w:t>
      </w:r>
    </w:p>
    <w:p>
      <w:r>
        <w:t>migration pipeline (not ad-hoc SQL). This adds the van-sales/return/day-close schema, the</w:t>
      </w:r>
    </w:p>
    <w:p>
      <w:r>
        <w:rPr>
          <w:rFonts w:ascii="Consolas" w:hAnsi="Consolas"/>
          <w:sz w:val="19"/>
        </w:rPr>
        <w:t>auditor</w:t>
      </w:r>
      <w:r>
        <w:t xml:space="preserve"> role (D1), and the </w:t>
      </w:r>
      <w:r>
        <w:rPr>
          <w:rFonts w:ascii="Consolas" w:hAnsi="Consolas"/>
          <w:sz w:val="19"/>
        </w:rPr>
        <w:t>erp_day_close_try_close</w:t>
      </w:r>
      <w:r>
        <w:t xml:space="preserve"> REVOKE (V1).</w:t>
      </w:r>
    </w:p>
    <w:p>
      <w:pPr>
        <w:pStyle w:val="ListNumber"/>
      </w:pPr>
      <w:r>
        <w:rPr>
          <w:b/>
        </w:rPr>
        <w:t>Provision per-company</w:t>
      </w:r>
      <w:r>
        <w:t xml:space="preserve"> (not global): enable Van Sales (</w:t>
      </w:r>
      <w:r>
        <w:rPr>
          <w:rFonts w:ascii="Consolas" w:hAnsi="Consolas"/>
          <w:sz w:val="19"/>
        </w:rPr>
        <w:t>erp_van_sales_settings.is_enabled</w:t>
      </w:r>
      <w:r>
        <w:t>),</w:t>
      </w:r>
    </w:p>
    <w:p>
      <w:r>
        <w:t>set the flags (</w:t>
      </w:r>
      <w:r>
        <w:rPr>
          <w:rFonts w:ascii="Consolas" w:hAnsi="Consolas"/>
          <w:sz w:val="19"/>
        </w:rPr>
        <w:t>platform.return_approval</w:t>
      </w:r>
      <w:r>
        <w:t xml:space="preserve">, </w:t>
      </w:r>
      <w:r>
        <w:rPr>
          <w:rFonts w:ascii="Consolas" w:hAnsi="Consolas"/>
          <w:sz w:val="19"/>
        </w:rPr>
        <w:t>platform.day_close_approval</w:t>
      </w:r>
      <w:r>
        <w:t>,</w:t>
      </w:r>
    </w:p>
    <w:p>
      <w:r>
        <w:rPr>
          <w:rFonts w:ascii="Consolas" w:hAnsi="Consolas"/>
          <w:sz w:val="19"/>
        </w:rPr>
        <w:t>platform.salesman_requests</w:t>
      </w:r>
      <w:r>
        <w:t xml:space="preserve">, </w:t>
      </w:r>
      <w:r>
        <w:rPr>
          <w:rFonts w:ascii="Consolas" w:hAnsi="Consolas"/>
          <w:sz w:val="19"/>
        </w:rPr>
        <w:t>platform.unified_salesman_workspace</w:t>
      </w:r>
      <w:r>
        <w:t>), and configure policies for</w:t>
      </w:r>
    </w:p>
    <w:p>
      <w:r>
        <w:t>each real distributor — using the Pilot Setup Checklist, not the demo seed.</w:t>
      </w:r>
    </w:p>
    <w:p>
      <w:pPr>
        <w:pStyle w:val="ListNumber"/>
      </w:pPr>
      <w:r>
        <w:rPr>
          <w:b/>
        </w:rPr>
        <w:t>Carry the deployment env</w:t>
      </w:r>
      <w:r>
        <w:t xml:space="preserve"> — ensure </w:t>
      </w:r>
      <w:r>
        <w:rPr>
          <w:rFonts w:ascii="Consolas" w:hAnsi="Consolas"/>
          <w:sz w:val="19"/>
        </w:rPr>
        <w:t>KAKO_VAN_SALES</w:t>
      </w:r>
      <w:r>
        <w:t xml:space="preserve"> is ON (default) on the production env.</w:t>
      </w:r>
    </w:p>
    <w:p>
      <w:pPr>
        <w:pStyle w:val="ListNumber"/>
      </w:pPr>
      <w:r>
        <w:rPr>
          <w:b/>
        </w:rPr>
        <w:t>Validate on production</w:t>
      </w:r>
      <w:r>
        <w:t xml:space="preserve"> with the same runtime checks used on staging (authorization matrix,</w:t>
      </w:r>
    </w:p>
    <w:p>
      <w:r>
        <w:t>workflow chain, RLS isolation, audit trail) before enabling for real users.</w:t>
      </w:r>
    </w:p>
    <w:p>
      <w:pPr>
        <w:pStyle w:val="ListNumber"/>
      </w:pPr>
      <w:r>
        <w:rPr>
          <w:b/>
        </w:rPr>
        <w:t>Keep V2/V3 dispositions</w:t>
      </w:r>
      <w:r>
        <w:t xml:space="preserve"> — apply the post-pilot fixes (or accept) consistently in both envs.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t xml:space="preserve">Source of truth: </w:t>
      </w:r>
      <w:r>
        <w:rPr>
          <w:b/>
        </w:rPr>
        <w:t>vantora-staging</w:t>
      </w:r>
      <w:r>
        <w:t xml:space="preserve"> — confirmed and canonical.</w:t>
      </w:r>
    </w:p>
    <w:p>
      <w:pPr>
        <w:pStyle w:val="ListBullet"/>
      </w:pPr>
      <w:r>
        <w:t>Pilot fixes are correctly scoped to vantora-staging; no FMCG work has been applied to a</w:t>
      </w:r>
    </w:p>
    <w:p>
      <w:r>
        <w:t>legacy/demo-only environment.</w:t>
      </w:r>
    </w:p>
    <w:p>
      <w:pPr>
        <w:pStyle w:val="ListBullet"/>
      </w:pPr>
      <w:r>
        <w:t xml:space="preserve">kako-fmcg flagged out-of-sync for </w:t>
      </w:r>
      <w:r>
        <w:rPr>
          <w:b/>
        </w:rPr>
        <w:t>future production rollout only</w:t>
      </w:r>
      <w:r>
        <w:t>; field-insights and</w:t>
      </w:r>
    </w:p>
    <w:p>
      <w:r>
        <w:t>near-expiry-roshen are separate products and excluded.</w:t>
      </w:r>
    </w:p>
    <w:p>
      <w:pPr>
        <w:pStyle w:val="ListBullet"/>
      </w:pPr>
      <w:r>
        <w:t>Freeze preserved (this is governance/inventory — no code or schema change made here).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