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56"/>
        </w:rPr>
        <w:t>VANTORA</w:t>
      </w:r>
    </w:p>
    <w:p>
      <w:r>
        <w:rPr>
          <w:b/>
          <w:color w:val="555555"/>
          <w:sz w:val="30"/>
        </w:rPr>
        <w:t>Design-First Review — Closing the FMCG Sell → Invoice → Collect Loop</w:t>
      </w:r>
    </w:p>
    <w:p>
      <w:pPr>
        <w:spacing w:before="40"/>
      </w:pPr>
      <w:r>
        <w:rPr>
          <w:i/>
          <w:color w:val="555555"/>
          <w:sz w:val="19"/>
        </w:rPr>
        <w:t>Prepared 9 June 2026  ·  Design review only — no engines built, no code changed  ·  Scope: the two FMCG pilot hard blockers</w:t>
      </w:r>
    </w:p>
    <w:p/>
    <w:p>
      <w:pPr>
        <w:spacing w:before="240" w:after="80"/>
      </w:pPr>
      <w:r>
        <w:rPr>
          <w:b/>
          <w:color w:val="1F3864"/>
          <w:sz w:val="26"/>
        </w:rPr>
        <w:t>0.  Key Reframing — This Is Wiring, Not an Engine Build</w:t>
      </w:r>
    </w:p>
    <w:p>
      <w:pPr>
        <w:spacing w:after="80"/>
      </w:pPr>
      <w:r>
        <w:rPr>
          <w:b w:val="0"/>
          <w:i w:val="0"/>
          <w:sz w:val="21"/>
        </w:rPr>
        <w:t>The readiness assessment flagged these as the two hard blockers. The codebase evidence shows the transactional cores already exist and are inert behind feature flags. What is missing is mostly field UI, thin wiring, and two atomic RPCs — not new engines, which directly satisfies the "do not build new platform engines" constraint.</w:t>
      </w:r>
    </w:p>
    <w:p>
      <w:pPr>
        <w:pStyle w:val="ListBullet"/>
        <w:spacing w:after="80"/>
      </w:pPr>
      <w:r>
        <w:rPr>
          <w:b w:val="0"/>
          <w:i w:val="0"/>
          <w:sz w:val="21"/>
        </w:rPr>
        <w:t>Van invoicing stock-out already works. erp_issue_invoice (migration 0013) already selects the rep’s assigned van warehouse first, posts a sale_out movement, updates the customer balance, and fires INVOICE_ISSUED. Creating and issuing an invoice from a van is a solved data path.</w:t>
      </w:r>
    </w:p>
    <w:p>
      <w:pPr>
        <w:pStyle w:val="ListBullet"/>
        <w:spacing w:after="80"/>
      </w:pPr>
      <w:r>
        <w:rPr>
          <w:b w:val="0"/>
          <w:i w:val="0"/>
          <w:sz w:val="21"/>
        </w:rPr>
        <w:t>The collections engine already exists and is tested. erp_collections + erp_collection_allocations (0192) plus a full /lib/distribution/collections/ service layer — pure allocation.ts (oldest-first + specified), settleCollection() service, and supabase-gateway.applyToInvoice() — all tested and gated behind KAKO_DISTRIBUTION, simply never wired to a UI.</w:t>
      </w:r>
    </w:p>
    <w:p>
      <w:pPr>
        <w:spacing w:after="80"/>
      </w:pPr>
      <w:r>
        <w:rPr>
          <w:b w:val="0"/>
          <w:i/>
          <w:color w:val="1F3864"/>
          <w:sz w:val="21"/>
        </w:rPr>
        <w:t>Revised read: the two blockers are roughly 55–65% pre-built at the data/service layer. No new platform engine is required to complete the loop.</w:t>
      </w:r>
    </w:p>
    <w:p>
      <w:r>
        <w:br w:type="page"/>
      </w:r>
    </w:p>
    <w:p>
      <w:pPr>
        <w:spacing w:before="240" w:after="80"/>
      </w:pPr>
      <w:r>
        <w:rPr>
          <w:b/>
          <w:color w:val="1F3864"/>
          <w:sz w:val="34"/>
        </w:rPr>
        <w:t>Part 1 — Van Selling / Van Invoicing (incl. Van Returns)</w:t>
      </w:r>
    </w:p>
    <w:p>
      <w:pPr>
        <w:spacing w:before="240" w:after="80"/>
      </w:pPr>
      <w:r>
        <w:rPr>
          <w:b/>
          <w:color w:val="1F3864"/>
          <w:sz w:val="22"/>
        </w:rPr>
        <w:t>1A.  Current Reusable Components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736"/>
            <w:shd w:val="clear" w:fill="1F3864"/>
          </w:tcPr>
          <w:p>
            <w:r/>
            <w:r>
              <w:rPr>
                <w:b/>
                <w:color w:val="FFFFFF"/>
                <w:sz w:val="19"/>
              </w:rPr>
              <w:t>Component</w:t>
            </w:r>
          </w:p>
        </w:tc>
        <w:tc>
          <w:tcPr>
            <w:tcW w:type="dxa" w:w="1872"/>
            <w:shd w:val="clear" w:fill="1F3864"/>
          </w:tcPr>
          <w:p>
            <w:r/>
            <w:r>
              <w:rPr>
                <w:b/>
                <w:color w:val="FFFFFF"/>
                <w:sz w:val="19"/>
              </w:rPr>
              <w:t>Location</w:t>
            </w:r>
          </w:p>
        </w:tc>
        <w:tc>
          <w:tcPr>
            <w:tcW w:type="dxa" w:w="5184"/>
            <w:shd w:val="clear" w:fill="1F3864"/>
          </w:tcPr>
          <w:p>
            <w:r/>
            <w:r>
              <w:rPr>
                <w:b/>
                <w:color w:val="FFFFFF"/>
                <w:sz w:val="19"/>
              </w:rPr>
              <w:t>What it gives us</w:t>
            </w:r>
          </w:p>
        </w:tc>
      </w:tr>
      <w:tr>
        <w:tc>
          <w:tcPr>
            <w:tcW w:type="dxa" w:w="2736"/>
          </w:tcPr>
          <w:p>
            <w:r/>
            <w:r>
              <w:rPr>
                <w:b w:val="0"/>
                <w:sz w:val="18"/>
              </w:rPr>
              <w:t>erp_issue_invoice RPC</w:t>
            </w:r>
          </w:p>
        </w:tc>
        <w:tc>
          <w:tcPr>
            <w:tcW w:type="dxa" w:w="1872"/>
          </w:tcPr>
          <w:p>
            <w:r/>
            <w:r>
              <w:rPr>
                <w:b w:val="0"/>
                <w:sz w:val="18"/>
              </w:rPr>
              <w:t>mig 0013</w:t>
            </w:r>
          </w:p>
        </w:tc>
        <w:tc>
          <w:tcPr>
            <w:tcW w:type="dxa" w:w="5184"/>
          </w:tcPr>
          <w:p>
            <w:r/>
            <w:r>
              <w:rPr>
                <w:b w:val="0"/>
                <w:sz w:val="18"/>
              </w:rPr>
              <w:t>Atomic: van-first warehouse pick → sale_out movement → customer balance += → status issued → INVOICE_ISSUED event</w:t>
            </w:r>
          </w:p>
        </w:tc>
      </w:tr>
      <w:tr>
        <w:tc>
          <w:tcPr>
            <w:tcW w:type="dxa" w:w="2736"/>
          </w:tcPr>
          <w:p>
            <w:r/>
            <w:r>
              <w:rPr>
                <w:b w:val="0"/>
                <w:sz w:val="18"/>
              </w:rPr>
              <w:t>createInvoice() action</w:t>
            </w:r>
          </w:p>
        </w:tc>
        <w:tc>
          <w:tcPr>
            <w:tcW w:type="dxa" w:w="1872"/>
          </w:tcPr>
          <w:p>
            <w:r/>
            <w:r>
              <w:rPr>
                <w:b w:val="0"/>
                <w:sz w:val="18"/>
              </w:rPr>
              <w:t>sales/invoices/actions.ts</w:t>
            </w:r>
          </w:p>
        </w:tc>
        <w:tc>
          <w:tcPr>
            <w:tcW w:type="dxa" w:w="5184"/>
          </w:tcPr>
          <w:p>
            <w:r/>
            <w:r>
              <w:rPr>
                <w:b w:val="0"/>
                <w:sz w:val="18"/>
              </w:rPr>
              <w:t>Credit-limit pre-check, stock pre-check, idempotency_key, erp_next_number(invoice)</w:t>
            </w:r>
          </w:p>
        </w:tc>
      </w:tr>
      <w:tr>
        <w:tc>
          <w:tcPr>
            <w:tcW w:type="dxa" w:w="2736"/>
          </w:tcPr>
          <w:p>
            <w:r/>
            <w:r>
              <w:rPr>
                <w:b w:val="0"/>
                <w:sz w:val="18"/>
              </w:rPr>
              <w:t>erp_resolve_price RPC</w:t>
            </w:r>
          </w:p>
        </w:tc>
        <w:tc>
          <w:tcPr>
            <w:tcW w:type="dxa" w:w="1872"/>
          </w:tcPr>
          <w:p>
            <w:r/>
            <w:r>
              <w:rPr>
                <w:b w:val="0"/>
                <w:sz w:val="18"/>
              </w:rPr>
              <w:t>mig 0106</w:t>
            </w:r>
          </w:p>
        </w:tc>
        <w:tc>
          <w:tcPr>
            <w:tcW w:type="dxa" w:w="5184"/>
          </w:tcPr>
          <w:p>
            <w:r/>
            <w:r>
              <w:rPr>
                <w:b w:val="0"/>
                <w:sz w:val="18"/>
              </w:rPr>
              <w:t>9-level price resolution (promo→customer→segment→channel→tier→branch→area→region→global)</w:t>
            </w:r>
          </w:p>
        </w:tc>
      </w:tr>
      <w:tr>
        <w:tc>
          <w:tcPr>
            <w:tcW w:type="dxa" w:w="2736"/>
          </w:tcPr>
          <w:p>
            <w:r/>
            <w:r>
              <w:rPr>
                <w:b w:val="0"/>
                <w:sz w:val="18"/>
              </w:rPr>
              <w:t>convertOrderToInvoice()</w:t>
            </w:r>
          </w:p>
        </w:tc>
        <w:tc>
          <w:tcPr>
            <w:tcW w:type="dxa" w:w="1872"/>
          </w:tcPr>
          <w:p>
            <w:r/>
            <w:r>
              <w:rPr>
                <w:b w:val="0"/>
                <w:sz w:val="18"/>
              </w:rPr>
              <w:t>sales/orders/actions.ts</w:t>
            </w:r>
          </w:p>
        </w:tc>
        <w:tc>
          <w:tcPr>
            <w:tcW w:type="dxa" w:w="5184"/>
          </w:tcPr>
          <w:p>
            <w:r/>
            <w:r>
              <w:rPr>
                <w:b w:val="0"/>
                <w:sz w:val="18"/>
              </w:rPr>
              <w:t>Order → draft invoice (partial — does not auto-issue)</w:t>
            </w:r>
          </w:p>
        </w:tc>
      </w:tr>
      <w:tr>
        <w:tc>
          <w:tcPr>
            <w:tcW w:type="dxa" w:w="2736"/>
          </w:tcPr>
          <w:p>
            <w:r/>
            <w:r>
              <w:rPr>
                <w:b w:val="0"/>
                <w:sz w:val="18"/>
              </w:rPr>
              <w:t>erp_visits (nullable invoice_id, work_session_id)</w:t>
            </w:r>
          </w:p>
        </w:tc>
        <w:tc>
          <w:tcPr>
            <w:tcW w:type="dxa" w:w="1872"/>
          </w:tcPr>
          <w:p>
            <w:r/>
            <w:r>
              <w:rPr>
                <w:b w:val="0"/>
                <w:sz w:val="18"/>
              </w:rPr>
              <w:t>mig 0014 / 0128</w:t>
            </w:r>
          </w:p>
        </w:tc>
        <w:tc>
          <w:tcPr>
            <w:tcW w:type="dxa" w:w="5184"/>
          </w:tcPr>
          <w:p>
            <w:r/>
            <w:r>
              <w:rPr>
                <w:b w:val="0"/>
                <w:sz w:val="18"/>
              </w:rPr>
              <w:t>The visit is already the anchor for a field sale</w:t>
            </w:r>
          </w:p>
        </w:tc>
      </w:tr>
      <w:tr>
        <w:tc>
          <w:tcPr>
            <w:tcW w:type="dxa" w:w="2736"/>
          </w:tcPr>
          <w:p>
            <w:r/>
            <w:r>
              <w:rPr>
                <w:b w:val="0"/>
                <w:sz w:val="18"/>
              </w:rPr>
              <w:t>Van stock spine</w:t>
            </w:r>
          </w:p>
        </w:tc>
        <w:tc>
          <w:tcPr>
            <w:tcW w:type="dxa" w:w="1872"/>
          </w:tcPr>
          <w:p>
            <w:r/>
            <w:r>
              <w:rPr>
                <w:b w:val="0"/>
                <w:sz w:val="18"/>
              </w:rPr>
              <w:t>migs 0011 / 0194 / 0138</w:t>
            </w:r>
          </w:p>
        </w:tc>
        <w:tc>
          <w:tcPr>
            <w:tcW w:type="dxa" w:w="5184"/>
          </w:tcPr>
          <w:p>
            <w:r/>
            <w:r>
              <w:rPr>
                <w:b w:val="0"/>
                <w:sz w:val="18"/>
              </w:rPr>
              <w:t>erp_stock_requests, erp_van_load_manifests, erp_van_reconciliations, erp_warehouses(is_van, assigned_to), erp_inventory_stock, erp_stock_movements</w:t>
            </w:r>
          </w:p>
        </w:tc>
      </w:tr>
      <w:tr>
        <w:tc>
          <w:tcPr>
            <w:tcW w:type="dxa" w:w="2736"/>
          </w:tcPr>
          <w:p>
            <w:r/>
            <w:r>
              <w:rPr>
                <w:b w:val="0"/>
                <w:sz w:val="18"/>
              </w:rPr>
              <w:t>Returns</w:t>
            </w:r>
          </w:p>
        </w:tc>
        <w:tc>
          <w:tcPr>
            <w:tcW w:type="dxa" w:w="1872"/>
          </w:tcPr>
          <w:p>
            <w:r/>
            <w:r>
              <w:rPr>
                <w:b w:val="0"/>
                <w:sz w:val="18"/>
              </w:rPr>
              <w:t>migs 0005 / 0140 / 0219</w:t>
            </w:r>
          </w:p>
        </w:tc>
        <w:tc>
          <w:tcPr>
            <w:tcW w:type="dxa" w:w="5184"/>
          </w:tcPr>
          <w:p>
            <w:r/>
            <w:r>
              <w:rPr>
                <w:b w:val="0"/>
                <w:sz w:val="18"/>
              </w:rPr>
              <w:t>erp_sales_returns/_lines, erp_return_reasons, erp_complete_sales_return, erp_credit_notes</w:t>
            </w:r>
          </w:p>
        </w:tc>
      </w:tr>
      <w:tr>
        <w:tc>
          <w:tcPr>
            <w:tcW w:type="dxa" w:w="2736"/>
          </w:tcPr>
          <w:p>
            <w:r/>
            <w:r>
              <w:rPr>
                <w:b w:val="0"/>
                <w:sz w:val="18"/>
              </w:rPr>
              <w:t>Offline queue</w:t>
            </w:r>
          </w:p>
        </w:tc>
        <w:tc>
          <w:tcPr>
            <w:tcW w:type="dxa" w:w="1872"/>
          </w:tcPr>
          <w:p>
            <w:r/>
            <w:r>
              <w:rPr>
                <w:b w:val="0"/>
                <w:sz w:val="18"/>
              </w:rPr>
              <w:t>mig 0230</w:t>
            </w:r>
          </w:p>
        </w:tc>
        <w:tc>
          <w:tcPr>
            <w:tcW w:type="dxa" w:w="5184"/>
          </w:tcPr>
          <w:p>
            <w:r/>
            <w:r>
              <w:rPr>
                <w:b w:val="0"/>
                <w:sz w:val="18"/>
              </w:rPr>
              <w:t>erp_offline_mutations (entity enum includes order/collection), idempotency, rep-terminal localStorage queue</w:t>
            </w:r>
          </w:p>
        </w:tc>
      </w:tr>
      <w:tr>
        <w:tc>
          <w:tcPr>
            <w:tcW w:type="dxa" w:w="2736"/>
          </w:tcPr>
          <w:p>
            <w:r/>
            <w:r>
              <w:rPr>
                <w:b w:val="0"/>
                <w:sz w:val="18"/>
              </w:rPr>
              <w:t>Finance posting</w:t>
            </w:r>
          </w:p>
        </w:tc>
        <w:tc>
          <w:tcPr>
            <w:tcW w:type="dxa" w:w="1872"/>
          </w:tcPr>
          <w:p>
            <w:r/>
            <w:r>
              <w:rPr>
                <w:b w:val="0"/>
                <w:sz w:val="18"/>
              </w:rPr>
              <w:t>migs 0067 / 0186</w:t>
            </w:r>
          </w:p>
        </w:tc>
        <w:tc>
          <w:tcPr>
            <w:tcW w:type="dxa" w:w="5184"/>
          </w:tcPr>
          <w:p>
            <w:r/>
            <w:r>
              <w:rPr>
                <w:b w:val="0"/>
                <w:sz w:val="18"/>
              </w:rPr>
              <w:t>erp_post_revenue pattern, posting rules, erp_account_map (gated KAKO_FINANCE)</w:t>
            </w:r>
          </w:p>
        </w:tc>
      </w:tr>
      <w:tr>
        <w:tc>
          <w:tcPr>
            <w:tcW w:type="dxa" w:w="2736"/>
          </w:tcPr>
          <w:p>
            <w:r/>
            <w:r>
              <w:rPr>
                <w:b w:val="0"/>
                <w:sz w:val="18"/>
              </w:rPr>
              <w:t>Per-company policy</w:t>
            </w:r>
          </w:p>
        </w:tc>
        <w:tc>
          <w:tcPr>
            <w:tcW w:type="dxa" w:w="1872"/>
          </w:tcPr>
          <w:p>
            <w:r/>
            <w:r>
              <w:rPr>
                <w:b w:val="0"/>
                <w:sz w:val="18"/>
              </w:rPr>
              <w:t>migs 0128 / 0138</w:t>
            </w:r>
          </w:p>
        </w:tc>
        <w:tc>
          <w:tcPr>
            <w:tcW w:type="dxa" w:w="5184"/>
          </w:tcPr>
          <w:p>
            <w:r/>
            <w:r>
              <w:rPr>
                <w:b w:val="0"/>
                <w:sz w:val="18"/>
              </w:rPr>
              <w:t>erp_van_sales_settings (discount_cap_pct, allow_negative_van_stock, auto_confirm_direct_load), isVanSalesActive gate</w:t>
            </w:r>
          </w:p>
        </w:tc>
      </w:tr>
    </w:tbl>
    <w:p>
      <w:pPr>
        <w:spacing w:before="240" w:after="80"/>
      </w:pPr>
      <w:r>
        <w:rPr>
          <w:b/>
          <w:color w:val="1F3864"/>
          <w:sz w:val="22"/>
        </w:rPr>
        <w:t>1B.  Required Gaps</w:t>
      </w:r>
    </w:p>
    <w:p>
      <w:pPr>
        <w:pStyle w:val="ListBullet"/>
        <w:spacing w:after="60"/>
      </w:pPr>
      <w:r>
        <w:rPr>
          <w:b/>
          <w:sz w:val="21"/>
        </w:rPr>
        <w:t xml:space="preserve">1. One-step van-sell RPC — </w:t>
      </w:r>
      <w:r>
        <w:rPr>
          <w:sz w:val="21"/>
        </w:rPr>
        <w:t>a SECURITY DEFINER erp_van_sell() wrapping create+issue atomically: resolves price server-side, forces source warehouse to the rep’s van, enforces discount_cap_pct + credit limit + negative-stock guard, returns the issued invoice. Today create and issue are two desktop-oriented steps and price is not auto-applied.</w:t>
      </w:r>
    </w:p>
    <w:p>
      <w:pPr>
        <w:pStyle w:val="ListBullet"/>
        <w:spacing w:after="60"/>
      </w:pPr>
      <w:r>
        <w:rPr>
          <w:b/>
          <w:sz w:val="21"/>
        </w:rPr>
        <w:t xml:space="preserve">2. Van-sell mobile UI — </w:t>
      </w:r>
      <w:r>
        <w:rPr>
          <w:sz w:val="21"/>
        </w:rPr>
        <w:t>a visit-anchored screen off the journey plan: pick customer → add lines (price auto-filled) → confirm → issue → print/share receipt. Mobile-first, mirrors the existing rep-terminal.</w:t>
      </w:r>
    </w:p>
    <w:p>
      <w:pPr>
        <w:pStyle w:val="ListBullet"/>
        <w:spacing w:after="60"/>
      </w:pPr>
      <w:r>
        <w:rPr>
          <w:b/>
          <w:sz w:val="21"/>
        </w:rPr>
        <w:t xml:space="preserve">3. Van return path — </w:t>
      </w:r>
      <w:r>
        <w:rPr>
          <w:sz w:val="21"/>
        </w:rPr>
        <w:t>erp_complete_sales_return restocks to the first branch warehouse; van returns must return_in to the rep’s van warehouse and optionally raise a credit note. Needs a return-to-van variant/param + a thin van-return UI.</w:t>
      </w:r>
    </w:p>
    <w:p>
      <w:pPr>
        <w:pStyle w:val="ListBullet"/>
        <w:spacing w:after="60"/>
      </w:pPr>
      <w:r>
        <w:rPr>
          <w:b/>
          <w:sz w:val="21"/>
        </w:rPr>
        <w:t xml:space="preserve">4. Offline van-sell wiring — </w:t>
      </w:r>
      <w:r>
        <w:rPr>
          <w:sz w:val="21"/>
        </w:rPr>
        <w:t>register an apply handler for the van-sell mutation (queue exists; invoice is server_authoritative but no handler is wired). Credit-limit + stock must be re-checked at apply time, not capture time.</w:t>
      </w:r>
    </w:p>
    <w:p>
      <w:pPr>
        <w:pStyle w:val="ListBullet"/>
        <w:spacing w:after="60"/>
      </w:pPr>
      <w:r>
        <w:rPr>
          <w:b/>
          <w:sz w:val="21"/>
        </w:rPr>
        <w:t xml:space="preserve">5. Reconciliation glue (reporting) — </w:t>
      </w:r>
      <w:r>
        <w:rPr>
          <w:sz w:val="21"/>
        </w:rPr>
        <w:t>day-end expected = loaded − sold − returned. Since sale_out already moves van stock, reconciliation’s live-balance expectation already reflects sales; this is mostly manifest↔recon reporting, not new stock logic.</w:t>
      </w:r>
    </w:p>
    <w:p>
      <w:pPr>
        <w:spacing w:before="240" w:after="80"/>
      </w:pPr>
      <w:r>
        <w:rPr>
          <w:b/>
          <w:color w:val="1F3864"/>
          <w:sz w:val="22"/>
        </w:rPr>
        <w:t>1C.  Risks</w:t>
      </w:r>
    </w:p>
    <w:p>
      <w:pPr>
        <w:pStyle w:val="ListBullet"/>
        <w:spacing w:after="40"/>
      </w:pPr>
      <w:r>
        <w:rPr>
          <w:b/>
          <w:color w:val="B06A00"/>
          <w:sz w:val="20"/>
        </w:rPr>
        <w:t xml:space="preserve">Negative van stock on oversell: </w:t>
      </w:r>
      <w:r>
        <w:rPr>
          <w:sz w:val="20"/>
        </w:rPr>
        <w:t>enforce allow_negative_van_stock in the issue RPC, not just a pre-check.</w:t>
      </w:r>
    </w:p>
    <w:p>
      <w:pPr>
        <w:pStyle w:val="ListBullet"/>
        <w:spacing w:after="40"/>
      </w:pPr>
      <w:r>
        <w:rPr>
          <w:b/>
          <w:color w:val="B06A00"/>
          <w:sz w:val="20"/>
        </w:rPr>
        <w:t xml:space="preserve">Double-issue on flaky networks: </w:t>
      </w:r>
      <w:r>
        <w:rPr>
          <w:sz w:val="20"/>
        </w:rPr>
        <w:t>thread idempotency_key through offline replay (column exists; handler must honor it).</w:t>
      </w:r>
    </w:p>
    <w:p>
      <w:pPr>
        <w:pStyle w:val="ListBullet"/>
        <w:spacing w:after="40"/>
      </w:pPr>
      <w:r>
        <w:rPr>
          <w:b/>
          <w:color w:val="B06A00"/>
          <w:sz w:val="20"/>
        </w:rPr>
        <w:t xml:space="preserve">Price/discount integrity: </w:t>
      </w:r>
      <w:r>
        <w:rPr>
          <w:sz w:val="20"/>
        </w:rPr>
        <w:t>resolve price server-side, never trust client; enforce discount_cap_pct in the RPC.</w:t>
      </w:r>
    </w:p>
    <w:p>
      <w:pPr>
        <w:pStyle w:val="ListBullet"/>
        <w:spacing w:after="40"/>
      </w:pPr>
      <w:r>
        <w:rPr>
          <w:b/>
          <w:color w:val="B06A00"/>
          <w:sz w:val="20"/>
        </w:rPr>
        <w:t xml:space="preserve">Credit limit at point of sale: </w:t>
      </w:r>
      <w:r>
        <w:rPr>
          <w:sz w:val="20"/>
        </w:rPr>
        <w:t>re-evaluate at apply time for offline sales (balance may have moved since capture).</w:t>
      </w:r>
    </w:p>
    <w:p>
      <w:pPr>
        <w:pStyle w:val="ListBullet"/>
        <w:spacing w:after="40"/>
      </w:pPr>
      <w:r>
        <w:rPr>
          <w:b/>
          <w:color w:val="B06A00"/>
          <w:sz w:val="20"/>
        </w:rPr>
        <w:t xml:space="preserve">e-Invoice clearance (ZATCA/ETA): </w:t>
      </w:r>
      <w:r>
        <w:rPr>
          <w:sz w:val="20"/>
        </w:rPr>
        <w:t>keep submission async (already is); do not block the sale on clearance.</w:t>
      </w:r>
    </w:p>
    <w:p>
      <w:r>
        <w:br w:type="page"/>
      </w:r>
    </w:p>
    <w:p>
      <w:pPr>
        <w:spacing w:before="240" w:after="80"/>
      </w:pPr>
      <w:r>
        <w:rPr>
          <w:b/>
          <w:color w:val="1F3864"/>
          <w:sz w:val="34"/>
        </w:rPr>
        <w:t>Part 2 — Collections Entry + Multi-Invoice Allocation</w:t>
      </w:r>
    </w:p>
    <w:p>
      <w:pPr>
        <w:spacing w:before="240" w:after="80"/>
      </w:pPr>
      <w:r>
        <w:rPr>
          <w:b/>
          <w:color w:val="1F3864"/>
          <w:sz w:val="22"/>
        </w:rPr>
        <w:t>2A.  Current Reusable Components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736"/>
            <w:shd w:val="clear" w:fill="1F3864"/>
          </w:tcPr>
          <w:p>
            <w:r/>
            <w:r>
              <w:rPr>
                <w:b/>
                <w:color w:val="FFFFFF"/>
                <w:sz w:val="19"/>
              </w:rPr>
              <w:t>Component</w:t>
            </w:r>
          </w:p>
        </w:tc>
        <w:tc>
          <w:tcPr>
            <w:tcW w:type="dxa" w:w="2736"/>
            <w:shd w:val="clear" w:fill="1F3864"/>
          </w:tcPr>
          <w:p>
            <w:r/>
            <w:r>
              <w:rPr>
                <w:b/>
                <w:color w:val="FFFFFF"/>
                <w:sz w:val="19"/>
              </w:rPr>
              <w:t>Location</w:t>
            </w:r>
          </w:p>
        </w:tc>
        <w:tc>
          <w:tcPr>
            <w:tcW w:type="dxa" w:w="4320"/>
            <w:shd w:val="clear" w:fill="1F3864"/>
          </w:tcPr>
          <w:p>
            <w:r/>
            <w:r>
              <w:rPr>
                <w:b/>
                <w:color w:val="FFFFFF"/>
                <w:sz w:val="19"/>
              </w:rPr>
              <w:t>What it gives us</w:t>
            </w:r>
          </w:p>
        </w:tc>
      </w:tr>
      <w:tr>
        <w:tc>
          <w:tcPr>
            <w:tcW w:type="dxa" w:w="2736"/>
          </w:tcPr>
          <w:p>
            <w:r/>
            <w:r>
              <w:rPr>
                <w:b w:val="0"/>
                <w:sz w:val="18"/>
              </w:rPr>
              <w:t>Collections schema</w:t>
            </w:r>
          </w:p>
        </w:tc>
        <w:tc>
          <w:tcPr>
            <w:tcW w:type="dxa" w:w="2736"/>
          </w:tcPr>
          <w:p>
            <w:r/>
            <w:r>
              <w:rPr>
                <w:b w:val="0"/>
                <w:sz w:val="18"/>
              </w:rPr>
              <w:t>mig 0192</w:t>
            </w:r>
          </w:p>
        </w:tc>
        <w:tc>
          <w:tcPr>
            <w:tcW w:type="dxa" w:w="4320"/>
          </w:tcPr>
          <w:p>
            <w:r/>
            <w:r>
              <w:rPr>
                <w:b w:val="0"/>
                <w:sz w:val="18"/>
              </w:rPr>
              <w:t>erp_collections (method, amount, applied_amount, unapplied_amount, status) + erp_collection_allocations (UNIQUE per collection×invoice, CHECK &gt; 0) + branch-scoped RLS</w:t>
            </w:r>
          </w:p>
        </w:tc>
      </w:tr>
      <w:tr>
        <w:tc>
          <w:tcPr>
            <w:tcW w:type="dxa" w:w="2736"/>
          </w:tcPr>
          <w:p>
            <w:r/>
            <w:r>
              <w:rPr>
                <w:b w:val="0"/>
                <w:sz w:val="18"/>
              </w:rPr>
              <w:t>Allocation engine</w:t>
            </w:r>
          </w:p>
        </w:tc>
        <w:tc>
          <w:tcPr>
            <w:tcW w:type="dxa" w:w="2736"/>
          </w:tcPr>
          <w:p>
            <w:r/>
            <w:r>
              <w:rPr>
                <w:b w:val="0"/>
                <w:sz w:val="18"/>
              </w:rPr>
              <w:t>lib/distribution/collections/allocation.ts</w:t>
            </w:r>
          </w:p>
        </w:tc>
        <w:tc>
          <w:tcPr>
            <w:tcW w:type="dxa" w:w="4320"/>
          </w:tcPr>
          <w:p>
            <w:r/>
            <w:r>
              <w:rPr>
                <w:b w:val="0"/>
                <w:sz w:val="18"/>
              </w:rPr>
              <w:t>Pure, tested: oldest-first auto + specified per-invoice</w:t>
            </w:r>
          </w:p>
        </w:tc>
      </w:tr>
      <w:tr>
        <w:tc>
          <w:tcPr>
            <w:tcW w:type="dxa" w:w="2736"/>
          </w:tcPr>
          <w:p>
            <w:r/>
            <w:r>
              <w:rPr>
                <w:b w:val="0"/>
                <w:sz w:val="18"/>
              </w:rPr>
              <w:t>Settlement service</w:t>
            </w:r>
          </w:p>
        </w:tc>
        <w:tc>
          <w:tcPr>
            <w:tcW w:type="dxa" w:w="2736"/>
          </w:tcPr>
          <w:p>
            <w:r/>
            <w:r>
              <w:rPr>
                <w:b w:val="0"/>
                <w:sz w:val="18"/>
              </w:rPr>
              <w:t>lib/distribution/collections/service.ts</w:t>
            </w:r>
          </w:p>
        </w:tc>
        <w:tc>
          <w:tcPr>
            <w:tcW w:type="dxa" w:w="4320"/>
          </w:tcPr>
          <w:p>
            <w:r/>
            <w:r>
              <w:rPr>
                <w:b w:val="0"/>
                <w:sz w:val="18"/>
              </w:rPr>
              <w:t>settleCollection() orchestrates allocate → persist → apply-to-invoice (gated KAKO_DISTRIBUTION)</w:t>
            </w:r>
          </w:p>
        </w:tc>
      </w:tr>
      <w:tr>
        <w:tc>
          <w:tcPr>
            <w:tcW w:type="dxa" w:w="2736"/>
          </w:tcPr>
          <w:p>
            <w:r/>
            <w:r>
              <w:rPr>
                <w:b w:val="0"/>
                <w:sz w:val="18"/>
              </w:rPr>
              <w:t>Gateway</w:t>
            </w:r>
          </w:p>
        </w:tc>
        <w:tc>
          <w:tcPr>
            <w:tcW w:type="dxa" w:w="2736"/>
          </w:tcPr>
          <w:p>
            <w:r/>
            <w:r>
              <w:rPr>
                <w:b w:val="0"/>
                <w:sz w:val="18"/>
              </w:rPr>
              <w:t>supabase-gateway.applyToInvoice()</w:t>
            </w:r>
          </w:p>
        </w:tc>
        <w:tc>
          <w:tcPr>
            <w:tcW w:type="dxa" w:w="4320"/>
          </w:tcPr>
          <w:p>
            <w:r/>
            <w:r>
              <w:rPr>
                <w:b w:val="0"/>
                <w:sz w:val="18"/>
              </w:rPr>
              <w:t>Increments erp_invoices.paid_amount, resolves paid / partially_paid</w:t>
            </w:r>
          </w:p>
        </w:tc>
      </w:tr>
      <w:tr>
        <w:tc>
          <w:tcPr>
            <w:tcW w:type="dxa" w:w="2736"/>
          </w:tcPr>
          <w:p>
            <w:r/>
            <w:r>
              <w:rPr>
                <w:b w:val="0"/>
                <w:sz w:val="18"/>
              </w:rPr>
              <w:t>Aging / debt</w:t>
            </w:r>
          </w:p>
        </w:tc>
        <w:tc>
          <w:tcPr>
            <w:tcW w:type="dxa" w:w="2736"/>
          </w:tcPr>
          <w:p>
            <w:r/>
            <w:r>
              <w:rPr>
                <w:b w:val="0"/>
                <w:sz w:val="18"/>
              </w:rPr>
              <w:t>rep/actions.ts:getCustomerDebt()</w:t>
            </w:r>
          </w:p>
        </w:tc>
        <w:tc>
          <w:tcPr>
            <w:tcW w:type="dxa" w:w="4320"/>
          </w:tcPr>
          <w:p>
            <w:r/>
            <w:r>
              <w:rPr>
                <w:b w:val="0"/>
                <w:sz w:val="18"/>
              </w:rPr>
              <w:t>On-demand open-invoice bucketing (0-30/31-60/61-90/90+), remaining = net − paid</w:t>
            </w:r>
          </w:p>
        </w:tc>
      </w:tr>
      <w:tr>
        <w:tc>
          <w:tcPr>
            <w:tcW w:type="dxa" w:w="2736"/>
          </w:tcPr>
          <w:p>
            <w:r/>
            <w:r>
              <w:rPr>
                <w:b w:val="0"/>
                <w:sz w:val="18"/>
              </w:rPr>
              <w:t>Statement</w:t>
            </w:r>
          </w:p>
        </w:tc>
        <w:tc>
          <w:tcPr>
            <w:tcW w:type="dxa" w:w="2736"/>
          </w:tcPr>
          <w:p>
            <w:r/>
            <w:r>
              <w:rPr>
                <w:b w:val="0"/>
                <w:sz w:val="18"/>
              </w:rPr>
              <w:t>customers/[id]/statement/print</w:t>
            </w:r>
          </w:p>
        </w:tc>
        <w:tc>
          <w:tcPr>
            <w:tcW w:type="dxa" w:w="4320"/>
          </w:tcPr>
          <w:p>
            <w:r/>
            <w:r>
              <w:rPr>
                <w:b w:val="0"/>
                <w:sz w:val="18"/>
              </w:rPr>
              <w:t>Ledger-style running balance</w:t>
            </w:r>
          </w:p>
        </w:tc>
      </w:tr>
      <w:tr>
        <w:tc>
          <w:tcPr>
            <w:tcW w:type="dxa" w:w="2736"/>
          </w:tcPr>
          <w:p>
            <w:r/>
            <w:r>
              <w:rPr>
                <w:b w:val="0"/>
                <w:sz w:val="18"/>
              </w:rPr>
              <w:t>Numbering</w:t>
            </w:r>
          </w:p>
        </w:tc>
        <w:tc>
          <w:tcPr>
            <w:tcW w:type="dxa" w:w="2736"/>
          </w:tcPr>
          <w:p>
            <w:r/>
            <w:r>
              <w:rPr>
                <w:b w:val="0"/>
                <w:sz w:val="18"/>
              </w:rPr>
              <w:t>erp_next_number + erp_sequences</w:t>
            </w:r>
          </w:p>
        </w:tc>
        <w:tc>
          <w:tcPr>
            <w:tcW w:type="dxa" w:w="4320"/>
          </w:tcPr>
          <w:p>
            <w:r/>
            <w:r>
              <w:rPr>
                <w:b w:val="0"/>
                <w:sz w:val="18"/>
              </w:rPr>
              <w:t>Branch-scoped; collection→COL type not yet registered</w:t>
            </w:r>
          </w:p>
        </w:tc>
      </w:tr>
      <w:tr>
        <w:tc>
          <w:tcPr>
            <w:tcW w:type="dxa" w:w="2736"/>
          </w:tcPr>
          <w:p>
            <w:r/>
            <w:r>
              <w:rPr>
                <w:b w:val="0"/>
                <w:sz w:val="18"/>
              </w:rPr>
              <w:t>Legacy single-invoice path</w:t>
            </w:r>
          </w:p>
        </w:tc>
        <w:tc>
          <w:tcPr>
            <w:tcW w:type="dxa" w:w="2736"/>
          </w:tcPr>
          <w:p>
            <w:r/>
            <w:r>
              <w:rPr>
                <w:b w:val="0"/>
                <w:sz w:val="18"/>
              </w:rPr>
              <w:t>recordPayment() / rep/collectPayment()</w:t>
            </w:r>
          </w:p>
        </w:tc>
        <w:tc>
          <w:tcPr>
            <w:tcW w:type="dxa" w:w="4320"/>
          </w:tcPr>
          <w:p>
            <w:r/>
            <w:r>
              <w:rPr>
                <w:b w:val="0"/>
                <w:sz w:val="18"/>
              </w:rPr>
              <w:t>Existing erp_payments write + visit log (to be superseded for multi-invoice)</w:t>
            </w:r>
          </w:p>
        </w:tc>
      </w:tr>
      <w:tr>
        <w:tc>
          <w:tcPr>
            <w:tcW w:type="dxa" w:w="2736"/>
          </w:tcPr>
          <w:p>
            <w:r/>
            <w:r>
              <w:rPr>
                <w:b w:val="0"/>
                <w:sz w:val="18"/>
              </w:rPr>
              <w:t>Offline + finance</w:t>
            </w:r>
          </w:p>
        </w:tc>
        <w:tc>
          <w:tcPr>
            <w:tcW w:type="dxa" w:w="2736"/>
          </w:tcPr>
          <w:p>
            <w:r/>
            <w:r>
              <w:rPr>
                <w:b w:val="0"/>
                <w:sz w:val="18"/>
              </w:rPr>
              <w:t>migs 0230 / 0186</w:t>
            </w:r>
          </w:p>
        </w:tc>
        <w:tc>
          <w:tcPr>
            <w:tcW w:type="dxa" w:w="4320"/>
          </w:tcPr>
          <w:p>
            <w:r/>
            <w:r>
              <w:rPr>
                <w:b w:val="0"/>
                <w:sz w:val="18"/>
              </w:rPr>
              <w:t>entity='collection' already enumerated; posting rules + erp_account_map for GL</w:t>
            </w:r>
          </w:p>
        </w:tc>
      </w:tr>
    </w:tbl>
    <w:p>
      <w:pPr>
        <w:spacing w:before="240" w:after="80"/>
      </w:pPr>
      <w:r>
        <w:rPr>
          <w:b/>
          <w:color w:val="1F3864"/>
          <w:sz w:val="22"/>
        </w:rPr>
        <w:t>2B.  Required Gaps</w:t>
      </w:r>
    </w:p>
    <w:p>
      <w:pPr>
        <w:pStyle w:val="ListBullet"/>
        <w:spacing w:after="60"/>
      </w:pPr>
      <w:r>
        <w:rPr>
          <w:b/>
          <w:sz w:val="21"/>
        </w:rPr>
        <w:t xml:space="preserve">1. Collection entry UI — </w:t>
      </w:r>
      <w:r>
        <w:rPr>
          <w:sz w:val="21"/>
        </w:rPr>
        <w:t>create-receipt screen: customer → open invoices (from getCustomerDebt) → allocation grid (auto oldest-first or manual per-invoice) → method/reference → settle. Calls the existing settleCollection().</w:t>
      </w:r>
    </w:p>
    <w:p>
      <w:pPr>
        <w:pStyle w:val="ListBullet"/>
        <w:spacing w:after="60"/>
      </w:pPr>
      <w:r>
        <w:rPr>
          <w:b/>
          <w:sz w:val="21"/>
        </w:rPr>
        <w:t xml:space="preserve">2. Collection listing/management page (/collections) — </w:t>
      </w:r>
      <w:r>
        <w:rPr>
          <w:sz w:val="21"/>
        </w:rPr>
        <w:t>list, view, cancel.</w:t>
      </w:r>
    </w:p>
    <w:p>
      <w:pPr>
        <w:pStyle w:val="ListBullet"/>
        <w:spacing w:after="60"/>
      </w:pPr>
      <w:r>
        <w:rPr>
          <w:b/>
          <w:sz w:val="21"/>
        </w:rPr>
        <w:t xml:space="preserve">3. Collection numbering — </w:t>
      </w:r>
      <w:r>
        <w:rPr>
          <w:sz w:val="21"/>
        </w:rPr>
        <w:t>add collection→COL to erp_next_number; populate collection_number on insert (small migration).</w:t>
      </w:r>
    </w:p>
    <w:p>
      <w:pPr>
        <w:pStyle w:val="ListBullet"/>
        <w:spacing w:after="60"/>
      </w:pPr>
      <w:r>
        <w:rPr>
          <w:b/>
          <w:sz w:val="21"/>
        </w:rPr>
        <w:t xml:space="preserve">4. Offline collection wiring — </w:t>
      </w:r>
      <w:r>
        <w:rPr>
          <w:sz w:val="21"/>
        </w:rPr>
        <w:t>apply handler routing entity='collection' → settleCollection() with idempotency.</w:t>
      </w:r>
    </w:p>
    <w:p>
      <w:pPr>
        <w:pStyle w:val="ListBullet"/>
        <w:spacing w:after="60"/>
      </w:pPr>
      <w:r>
        <w:rPr>
          <w:b/>
          <w:sz w:val="21"/>
        </w:rPr>
        <w:t xml:space="preserve">5. (Optional, KAKO_FINANCE) GL posting — </w:t>
      </w:r>
      <w:r>
        <w:rPr>
          <w:sz w:val="21"/>
        </w:rPr>
        <w:t>DR cash/bank, CR AR via a collection.settled posting rule (van sale already posts via the invoice path).</w:t>
      </w:r>
    </w:p>
    <w:p>
      <w:pPr>
        <w:pStyle w:val="ListBullet"/>
        <w:spacing w:after="60"/>
      </w:pPr>
      <w:r>
        <w:rPr>
          <w:b/>
          <w:sz w:val="21"/>
        </w:rPr>
        <w:t xml:space="preserve">6. Customer-balance canonicalization — </w:t>
      </w:r>
      <w:r>
        <w:rPr>
          <w:sz w:val="21"/>
        </w:rPr>
        <w:t>erp_customers.balance is not auto-synced. Recommend compute-on-read (getCustomerDebt/statement) as canonical to avoid drift; treat the stored column as a cached/admin value only.</w:t>
      </w:r>
    </w:p>
    <w:p>
      <w:pPr>
        <w:pStyle w:val="ListBullet"/>
        <w:spacing w:after="60"/>
      </w:pPr>
      <w:r>
        <w:rPr>
          <w:b/>
          <w:sz w:val="21"/>
        </w:rPr>
        <w:t xml:space="preserve">7. Unapplied/on-account policy — </w:t>
      </w:r>
      <w:r>
        <w:rPr>
          <w:sz w:val="21"/>
        </w:rPr>
        <w:t>unapplied_amount exists. For pilot simplicity, require sum(allocations) = amount (disallow overpayment) and defer on-account credit handling.</w:t>
      </w:r>
    </w:p>
    <w:p>
      <w:pPr>
        <w:spacing w:before="240" w:after="80"/>
      </w:pPr>
      <w:r>
        <w:rPr>
          <w:b/>
          <w:color w:val="1F3864"/>
          <w:sz w:val="22"/>
        </w:rPr>
        <w:t>2C.  Risks</w:t>
      </w:r>
    </w:p>
    <w:p>
      <w:pPr>
        <w:pStyle w:val="ListBullet"/>
        <w:spacing w:after="40"/>
      </w:pPr>
      <w:r>
        <w:rPr>
          <w:b/>
          <w:color w:val="B06A00"/>
          <w:sz w:val="20"/>
        </w:rPr>
        <w:t xml:space="preserve">Over-allocation / concurrency: </w:t>
      </w:r>
      <w:r>
        <w:rPr>
          <w:sz w:val="20"/>
        </w:rPr>
        <w:t>the gateway must re-read invoice balance under SELECT … FOR UPDATE (or inside a SECURITY DEFINER settle RPC) so two reps cannot double-apply. Clamp each allocation to net − paid.</w:t>
      </w:r>
    </w:p>
    <w:p>
      <w:pPr>
        <w:pStyle w:val="ListBullet"/>
        <w:spacing w:after="40"/>
      </w:pPr>
      <w:r>
        <w:rPr>
          <w:b/>
          <w:color w:val="B06A00"/>
          <w:sz w:val="20"/>
        </w:rPr>
        <w:t xml:space="preserve">Branch / RLS scoping: </w:t>
      </w:r>
      <w:r>
        <w:rPr>
          <w:sz w:val="20"/>
        </w:rPr>
        <w:t>a collection’s allocations must stay within the collection’s branch; enforce in the settle path.</w:t>
      </w:r>
    </w:p>
    <w:p>
      <w:pPr>
        <w:pStyle w:val="ListBullet"/>
        <w:spacing w:after="40"/>
      </w:pPr>
      <w:r>
        <w:rPr>
          <w:b/>
          <w:color w:val="B06A00"/>
          <w:sz w:val="20"/>
        </w:rPr>
        <w:t xml:space="preserve">Cash integrity offline: </w:t>
      </w:r>
      <w:r>
        <w:rPr>
          <w:sz w:val="20"/>
        </w:rPr>
        <w:t>cash collected but unsynced; reconcile against van cash (van-accounting) at day-end.</w:t>
      </w:r>
    </w:p>
    <w:p>
      <w:pPr>
        <w:pStyle w:val="ListBullet"/>
        <w:spacing w:after="40"/>
      </w:pPr>
      <w:r>
        <w:rPr>
          <w:b/>
          <w:color w:val="B06A00"/>
          <w:sz w:val="20"/>
        </w:rPr>
        <w:t xml:space="preserve">Status / paid_amount drift: </w:t>
      </w:r>
      <w:r>
        <w:rPr>
          <w:sz w:val="20"/>
        </w:rPr>
        <w:t>derive status solely from paid_amount vs net_amount in one place.</w:t>
      </w:r>
    </w:p>
    <w:p>
      <w:r>
        <w:br w:type="page"/>
      </w:r>
    </w:p>
    <w:p>
      <w:pPr>
        <w:spacing w:before="240" w:after="80"/>
      </w:pPr>
      <w:r>
        <w:rPr>
          <w:b/>
          <w:color w:val="1F3864"/>
          <w:sz w:val="34"/>
        </w:rPr>
        <w:t>Part 3 — Shared Concerns (the Unified Loop)</w:t>
      </w:r>
    </w:p>
    <w:p>
      <w:pPr>
        <w:pStyle w:val="ListBullet"/>
        <w:spacing w:after="80"/>
      </w:pPr>
      <w:r>
        <w:rPr>
          <w:b w:val="0"/>
          <w:i w:val="0"/>
          <w:sz w:val="21"/>
        </w:rPr>
        <w:t>Same anchor: both ride the visit / work_session and the offline queue — one field session yields sales + collections.</w:t>
      </w:r>
    </w:p>
    <w:p>
      <w:pPr>
        <w:pStyle w:val="ListBullet"/>
        <w:spacing w:after="80"/>
      </w:pPr>
      <w:r>
        <w:rPr>
          <w:b w:val="0"/>
          <w:i w:val="0"/>
          <w:sz w:val="21"/>
        </w:rPr>
        <w:t>Flag strategy (all default OFF, no new engines): gate field surfaces behind the existing KAKO_VAN_SALES + per-company erp_van_sales_settings (consistent with isVanSalesActive); reuse KAKO_DISTRIBUTION for the collections service, KAKO_FINANCE for GL, KAKO_MOBILE for offline replay. No new platform flag is required.</w:t>
      </w:r>
    </w:p>
    <w:p>
      <w:pPr>
        <w:pStyle w:val="ListBullet"/>
        <w:spacing w:after="80"/>
      </w:pPr>
      <w:r>
        <w:rPr>
          <w:b w:val="0"/>
          <w:i w:val="0"/>
          <w:sz w:val="21"/>
        </w:rPr>
        <w:t>Atomicity pattern: two new SECURITY DEFINER RPCs (erp_van_sell, and a settle wrapper if we harden concurrency) — the same proven pattern as the Change-Request atomic confirm. Everything else is reuse.</w:t>
      </w:r>
    </w:p>
    <w:p>
      <w:pPr>
        <w:pStyle w:val="ListBullet"/>
        <w:spacing w:after="80"/>
      </w:pPr>
      <w:r>
        <w:rPr>
          <w:b w:val="0"/>
          <w:i w:val="0"/>
          <w:sz w:val="21"/>
        </w:rPr>
        <w:t>Reused engines: invoicing, pricing, returns, collections-settlement, workflow/event-bus (if approvals wanted on large collections), offline-sync, finance posting. Zero new engines.</w:t>
      </w:r>
    </w:p>
    <w:p>
      <w:pPr>
        <w:spacing w:before="240" w:after="80"/>
      </w:pPr>
      <w:r>
        <w:rPr>
          <w:b/>
          <w:color w:val="1F3864"/>
          <w:sz w:val="34"/>
        </w:rPr>
        <w:t>Part 4 — Recommended Implementation Sequence</w:t>
      </w:r>
    </w:p>
    <w:p>
      <w:pPr>
        <w:spacing w:after="80"/>
      </w:pPr>
      <w:r>
        <w:rPr>
          <w:b w:val="0"/>
          <w:i/>
          <w:sz w:val="21"/>
        </w:rPr>
        <w:t>Phased, flag-gated default OFF, CI-green, pure-core + thin-wiring + integration tests, additive RLS on new columns only — identical to the rhythm used for the CR / Alerts / Entitlement engines.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864"/>
            <w:shd w:val="clear" w:fill="1F3864"/>
          </w:tcPr>
          <w:p>
            <w:r/>
            <w:r>
              <w:rPr>
                <w:b/>
                <w:color w:val="FFFFFF"/>
                <w:sz w:val="19"/>
              </w:rPr>
              <w:t>Phase</w:t>
            </w:r>
          </w:p>
        </w:tc>
        <w:tc>
          <w:tcPr>
            <w:tcW w:type="dxa" w:w="7632"/>
            <w:shd w:val="clear" w:fill="1F3864"/>
          </w:tcPr>
          <w:p>
            <w:r/>
            <w:r>
              <w:rPr>
                <w:b/>
                <w:color w:val="FFFFFF"/>
                <w:sz w:val="19"/>
              </w:rPr>
              <w:t>Deliverable</w:t>
            </w:r>
          </w:p>
        </w:tc>
        <w:tc>
          <w:tcPr>
            <w:tcW w:type="dxa" w:w="1296"/>
            <w:shd w:val="clear" w:fill="1F3864"/>
          </w:tcPr>
          <w:p>
            <w:r/>
            <w:r>
              <w:rPr>
                <w:b/>
                <w:color w:val="FFFFFF"/>
                <w:sz w:val="19"/>
              </w:rPr>
              <w:t>Risk</w:t>
            </w:r>
          </w:p>
        </w:tc>
      </w:tr>
      <w:tr>
        <w:tc>
          <w:tcPr>
            <w:tcW w:type="dxa" w:w="864"/>
          </w:tcPr>
          <w:p>
            <w:r/>
            <w:r>
              <w:rPr>
                <w:b w:val="0"/>
                <w:sz w:val="19"/>
              </w:rPr>
              <w:t>0</w:t>
            </w:r>
          </w:p>
        </w:tc>
        <w:tc>
          <w:tcPr>
            <w:tcW w:type="dxa" w:w="7632"/>
          </w:tcPr>
          <w:p>
            <w:r/>
            <w:r>
              <w:rPr>
                <w:b w:val="0"/>
                <w:sz w:val="19"/>
              </w:rPr>
              <w:t>Design doc + flag/settings scaffolding (no behavior change)</w:t>
            </w:r>
          </w:p>
        </w:tc>
        <w:tc>
          <w:tcPr>
            <w:tcW w:type="dxa" w:w="1296"/>
          </w:tcPr>
          <w:p>
            <w:r>
              <w:rPr>
                <w:b/>
                <w:color w:val="555555"/>
              </w:rPr>
            </w:r>
            <w:r>
              <w:rPr>
                <w:b w:val="0"/>
                <w:sz w:val="19"/>
              </w:rPr>
              <w:t>none</w:t>
            </w:r>
          </w:p>
        </w:tc>
      </w:tr>
      <w:tr>
        <w:tc>
          <w:tcPr>
            <w:tcW w:type="dxa" w:w="864"/>
          </w:tcPr>
          <w:p>
            <w:r/>
            <w:r>
              <w:rPr>
                <w:b w:val="0"/>
                <w:sz w:val="19"/>
              </w:rPr>
              <w:t>1</w:t>
            </w:r>
          </w:p>
        </w:tc>
        <w:tc>
          <w:tcPr>
            <w:tcW w:type="dxa" w:w="7632"/>
          </w:tcPr>
          <w:p>
            <w:r/>
            <w:r>
              <w:rPr>
                <w:b w:val="0"/>
                <w:sz w:val="19"/>
              </w:rPr>
              <w:t>erp_van_sell atomic RPC: server-side pricing, van-warehouse force, discount-cap + credit-limit + negative-stock guards. Pure-core + integration tests. No UI.</w:t>
            </w:r>
          </w:p>
        </w:tc>
        <w:tc>
          <w:tcPr>
            <w:tcW w:type="dxa" w:w="1296"/>
          </w:tcPr>
          <w:p>
            <w:r>
              <w:rPr>
                <w:b/>
                <w:color w:val="555555"/>
              </w:rPr>
            </w:r>
            <w:r>
              <w:rPr>
                <w:b w:val="0"/>
                <w:sz w:val="19"/>
              </w:rPr>
              <w:t>low</w:t>
            </w:r>
          </w:p>
        </w:tc>
      </w:tr>
      <w:tr>
        <w:tc>
          <w:tcPr>
            <w:tcW w:type="dxa" w:w="864"/>
          </w:tcPr>
          <w:p>
            <w:r/>
            <w:r>
              <w:rPr>
                <w:b w:val="0"/>
                <w:sz w:val="19"/>
              </w:rPr>
              <w:t>2</w:t>
            </w:r>
          </w:p>
        </w:tc>
        <w:tc>
          <w:tcPr>
            <w:tcW w:type="dxa" w:w="7632"/>
          </w:tcPr>
          <w:p>
            <w:r/>
            <w:r>
              <w:rPr>
                <w:b w:val="0"/>
                <w:sz w:val="19"/>
              </w:rPr>
              <w:t>Van-sell mobile UI anchored to visit/journey + receipt print/share</w:t>
            </w:r>
          </w:p>
        </w:tc>
        <w:tc>
          <w:tcPr>
            <w:tcW w:type="dxa" w:w="1296"/>
          </w:tcPr>
          <w:p>
            <w:r>
              <w:rPr>
                <w:b/>
                <w:color w:val="555555"/>
              </w:rPr>
            </w:r>
            <w:r>
              <w:rPr>
                <w:b w:val="0"/>
                <w:sz w:val="19"/>
              </w:rPr>
              <w:t>low</w:t>
            </w:r>
          </w:p>
        </w:tc>
      </w:tr>
      <w:tr>
        <w:tc>
          <w:tcPr>
            <w:tcW w:type="dxa" w:w="864"/>
          </w:tcPr>
          <w:p>
            <w:r/>
            <w:r>
              <w:rPr>
                <w:b w:val="0"/>
                <w:sz w:val="19"/>
              </w:rPr>
              <w:t>3</w:t>
            </w:r>
          </w:p>
        </w:tc>
        <w:tc>
          <w:tcPr>
            <w:tcW w:type="dxa" w:w="7632"/>
          </w:tcPr>
          <w:p>
            <w:r/>
            <w:r>
              <w:rPr>
                <w:b w:val="0"/>
                <w:sz w:val="19"/>
              </w:rPr>
              <w:t>Van returns: return-to-van variant + credit-note link + thin UI</w:t>
            </w:r>
          </w:p>
        </w:tc>
        <w:tc>
          <w:tcPr>
            <w:tcW w:type="dxa" w:w="1296"/>
          </w:tcPr>
          <w:p>
            <w:r>
              <w:rPr>
                <w:b/>
                <w:color w:val="555555"/>
              </w:rPr>
            </w:r>
            <w:r>
              <w:rPr>
                <w:b w:val="0"/>
                <w:sz w:val="19"/>
              </w:rPr>
              <w:t>med</w:t>
            </w:r>
          </w:p>
        </w:tc>
      </w:tr>
      <w:tr>
        <w:tc>
          <w:tcPr>
            <w:tcW w:type="dxa" w:w="864"/>
          </w:tcPr>
          <w:p>
            <w:r/>
            <w:r>
              <w:rPr>
                <w:b w:val="0"/>
                <w:sz w:val="19"/>
              </w:rPr>
              <w:t>4</w:t>
            </w:r>
          </w:p>
        </w:tc>
        <w:tc>
          <w:tcPr>
            <w:tcW w:type="dxa" w:w="7632"/>
          </w:tcPr>
          <w:p>
            <w:r/>
            <w:r>
              <w:rPr>
                <w:b w:val="0"/>
                <w:sz w:val="19"/>
              </w:rPr>
              <w:t>Collection numbering (erp_next_number collection) — thin migration</w:t>
            </w:r>
          </w:p>
        </w:tc>
        <w:tc>
          <w:tcPr>
            <w:tcW w:type="dxa" w:w="1296"/>
          </w:tcPr>
          <w:p>
            <w:r>
              <w:rPr>
                <w:b/>
                <w:color w:val="555555"/>
              </w:rPr>
            </w:r>
            <w:r>
              <w:rPr>
                <w:b w:val="0"/>
                <w:sz w:val="19"/>
              </w:rPr>
              <w:t>low</w:t>
            </w:r>
          </w:p>
        </w:tc>
      </w:tr>
      <w:tr>
        <w:tc>
          <w:tcPr>
            <w:tcW w:type="dxa" w:w="864"/>
          </w:tcPr>
          <w:p>
            <w:r/>
            <w:r>
              <w:rPr>
                <w:b w:val="0"/>
                <w:sz w:val="19"/>
              </w:rPr>
              <w:t>5</w:t>
            </w:r>
          </w:p>
        </w:tc>
        <w:tc>
          <w:tcPr>
            <w:tcW w:type="dxa" w:w="7632"/>
          </w:tcPr>
          <w:p>
            <w:r/>
            <w:r>
              <w:rPr>
                <w:b w:val="0"/>
                <w:sz w:val="19"/>
              </w:rPr>
              <w:t>Collection entry UI + multi-invoice allocation grid (wires existing settleCollection) + /collections listing</w:t>
            </w:r>
          </w:p>
        </w:tc>
        <w:tc>
          <w:tcPr>
            <w:tcW w:type="dxa" w:w="1296"/>
          </w:tcPr>
          <w:p>
            <w:r>
              <w:rPr>
                <w:b/>
                <w:color w:val="555555"/>
              </w:rPr>
            </w:r>
            <w:r>
              <w:rPr>
                <w:b w:val="0"/>
                <w:sz w:val="19"/>
              </w:rPr>
              <w:t>low</w:t>
            </w:r>
          </w:p>
        </w:tc>
      </w:tr>
      <w:tr>
        <w:tc>
          <w:tcPr>
            <w:tcW w:type="dxa" w:w="864"/>
          </w:tcPr>
          <w:p>
            <w:r/>
            <w:r>
              <w:rPr>
                <w:b w:val="0"/>
                <w:sz w:val="19"/>
              </w:rPr>
              <w:t>6</w:t>
            </w:r>
          </w:p>
        </w:tc>
        <w:tc>
          <w:tcPr>
            <w:tcW w:type="dxa" w:w="7632"/>
          </w:tcPr>
          <w:p>
            <w:r/>
            <w:r>
              <w:rPr>
                <w:b w:val="0"/>
                <w:sz w:val="19"/>
              </w:rPr>
              <w:t>Offline wiring for van-sell + collection (apply handlers, idempotency, apply-time re-checks)</w:t>
            </w:r>
          </w:p>
        </w:tc>
        <w:tc>
          <w:tcPr>
            <w:tcW w:type="dxa" w:w="1296"/>
          </w:tcPr>
          <w:p>
            <w:r>
              <w:rPr>
                <w:b/>
                <w:color w:val="555555"/>
              </w:rPr>
            </w:r>
            <w:r>
              <w:rPr>
                <w:b w:val="0"/>
                <w:sz w:val="19"/>
              </w:rPr>
              <w:t>med</w:t>
            </w:r>
          </w:p>
        </w:tc>
      </w:tr>
      <w:tr>
        <w:tc>
          <w:tcPr>
            <w:tcW w:type="dxa" w:w="864"/>
          </w:tcPr>
          <w:p>
            <w:r/>
            <w:r>
              <w:rPr>
                <w:b w:val="0"/>
                <w:sz w:val="19"/>
              </w:rPr>
              <w:t>7</w:t>
            </w:r>
          </w:p>
        </w:tc>
        <w:tc>
          <w:tcPr>
            <w:tcW w:type="dxa" w:w="7632"/>
          </w:tcPr>
          <w:p>
            <w:r/>
            <w:r>
              <w:rPr>
                <w:b w:val="0"/>
                <w:sz w:val="19"/>
              </w:rPr>
              <w:t>(optional KAKO_FINANCE) GL posting for collections (DR cash/bank, CR AR)</w:t>
            </w:r>
          </w:p>
        </w:tc>
        <w:tc>
          <w:tcPr>
            <w:tcW w:type="dxa" w:w="1296"/>
          </w:tcPr>
          <w:p>
            <w:r>
              <w:rPr>
                <w:b/>
                <w:color w:val="555555"/>
              </w:rPr>
            </w:r>
            <w:r>
              <w:rPr>
                <w:b w:val="0"/>
                <w:sz w:val="19"/>
              </w:rPr>
              <w:t>low</w:t>
            </w:r>
          </w:p>
        </w:tc>
      </w:tr>
      <w:tr>
        <w:tc>
          <w:tcPr>
            <w:tcW w:type="dxa" w:w="864"/>
          </w:tcPr>
          <w:p>
            <w:r/>
            <w:r>
              <w:rPr>
                <w:b w:val="0"/>
                <w:sz w:val="19"/>
              </w:rPr>
              <w:t>8</w:t>
            </w:r>
          </w:p>
        </w:tc>
        <w:tc>
          <w:tcPr>
            <w:tcW w:type="dxa" w:w="7632"/>
          </w:tcPr>
          <w:p>
            <w:r/>
            <w:r>
              <w:rPr>
                <w:b w:val="0"/>
                <w:sz w:val="19"/>
              </w:rPr>
              <w:t>Reconciliation glue (expected = loaded − sold − returned; cash = collected − deposited) + E2E demo + pilot runbook</w:t>
            </w:r>
          </w:p>
        </w:tc>
        <w:tc>
          <w:tcPr>
            <w:tcW w:type="dxa" w:w="1296"/>
          </w:tcPr>
          <w:p>
            <w:r>
              <w:rPr>
                <w:b/>
                <w:color w:val="555555"/>
              </w:rPr>
            </w:r>
            <w:r>
              <w:rPr>
                <w:b w:val="0"/>
                <w:sz w:val="19"/>
              </w:rPr>
              <w:t>low</w:t>
            </w:r>
          </w:p>
        </w:tc>
      </w:tr>
    </w:tbl>
    <w:p>
      <w:pPr>
        <w:spacing w:after="120"/>
      </w:pPr>
      <w:r>
        <w:rPr>
          <w:b w:val="0"/>
          <w:i/>
          <w:sz w:val="21"/>
        </w:rPr>
        <w:t>Why this order: Phases 1–2 light up the sell leg on infrastructure that already moves van stock; 4–5 light up the collect leg on a service layer that already exists and is tested; 3 and 6–8 harden the edges (returns, offline, GL, reconciliation). Each phase is additive, flag-gated default OFF, RLS on new columns only.</w:t>
      </w:r>
    </w:p>
    <w:p>
      <w:pPr>
        <w:spacing w:before="80"/>
      </w:pPr>
      <w:r>
        <w:rPr>
          <w:b/>
          <w:color w:val="1F3864"/>
          <w:sz w:val="21"/>
        </w:rPr>
        <w:t xml:space="preserve">Bottom line: </w:t>
      </w:r>
      <w:r>
        <w:rPr>
          <w:sz w:val="21"/>
        </w:rPr>
        <w:t>the two blockers are ~55–65% pre-built at the data/service layer; remaining work concentrates in Phases 2, 5, 6 (field UIs + offline wiring) plus two atomic RPCs. No new platform engine is needed to complete the sell → invoice → collect loop.</w:t>
      </w:r>
    </w:p>
    <w:p/>
    <w:p>
      <w:r>
        <w:rPr>
          <w:i/>
          <w:color w:val="555555"/>
          <w:sz w:val="19"/>
        </w:rPr>
        <w:t>Design review only — no engines built, no code changed. Awaiting direction on whether to commit this as a design doc and begin Phase 0/1 under the usual flag-OFF, CI-green, pause-on-high-risk guardrails.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