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Territory Intelligence Studio —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Territory Intelligence Studio — Completion Review (STUDIO-1 → STUDIO-3)</w:t>
      </w:r>
    </w:p>
    <w:p>
      <w:r>
        <w:rPr>
          <w:b/>
        </w:rPr>
        <w:t>Workstream:</w:t>
      </w:r>
      <w:r>
        <w:t xml:space="preserve"> Territory Intelligence Studio (TIS) UX Consolidation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</w:t>
      </w:r>
    </w:p>
    <w:p>
      <w:r>
        <w:rPr>
          <w:b/>
        </w:rPr>
        <w:t>Commits:</w:t>
      </w:r>
      <w:r>
        <w:t xml:space="preserve"> STUDIO-1 </w:t>
      </w:r>
      <w:r>
        <w:rPr>
          <w:rFonts w:ascii="Consolas" w:hAnsi="Consolas"/>
          <w:sz w:val="19"/>
        </w:rPr>
        <w:t>c47c595</w:t>
      </w:r>
      <w:r>
        <w:t xml:space="preserve"> · STUDIO-2 </w:t>
      </w:r>
      <w:r>
        <w:rPr>
          <w:rFonts w:ascii="Consolas" w:hAnsi="Consolas"/>
          <w:sz w:val="19"/>
        </w:rPr>
        <w:t>5cbed33</w:t>
      </w:r>
      <w:r>
        <w:t xml:space="preserve"> · STUDIO-3 </w:t>
      </w:r>
      <w:r>
        <w:rPr>
          <w:rFonts w:ascii="Consolas" w:hAnsi="Consolas"/>
          <w:sz w:val="19"/>
        </w:rPr>
        <w:t>d807830</w:t>
      </w:r>
    </w:p>
    <w:p>
      <w:r>
        <w:rPr>
          <w:b/>
        </w:rPr>
        <w:t>Date:</w:t>
      </w:r>
      <w:r>
        <w:t xml:space="preserve"> 2026-06-19</w:t>
      </w:r>
    </w:p>
    <w:p>
      <w:r>
        <w:rPr>
          <w:b/>
        </w:rPr>
        <w:t>Status:</w:t>
      </w:r>
      <w:r>
        <w:t xml:space="preserve"> Complete — shipped, validated, deployed (Vercel </w:t>
      </w:r>
      <w:r>
        <w:rPr>
          <w:rFonts w:ascii="Consolas" w:hAnsi="Consolas"/>
          <w:sz w:val="19"/>
        </w:rPr>
        <w:t>kako</w:t>
      </w:r>
      <w:r>
        <w:t xml:space="preserve"> Ready)</w:t>
      </w:r>
    </w:p>
    <w:p>
      <w:pPr>
        <w:pStyle w:val="Heading2"/>
      </w:pPr>
      <w:r>
        <w:rPr>
          <w:color w:val="1F497D"/>
        </w:rPr>
        <w:t>1. Objective</w:t>
      </w:r>
    </w:p>
    <w:p>
      <w:r>
        <w:t>Fold the five TIS capabilities — Territory Audit, Geo Intelligence, Route Optimization,</w:t>
      </w:r>
    </w:p>
    <w:p>
      <w:r>
        <w:t>Visual Territory Planning, and (reserved) Sales Force Sizing — into **one map-centric</w:t>
      </w:r>
    </w:p>
    <w:p>
      <w:r>
        <w:t>manager workspace</w:t>
      </w:r>
      <w:r>
        <w:rPr>
          <w:b/>
        </w:rPr>
        <w:t xml:space="preserve"> with sub-navigation, </w:t>
      </w:r>
      <w:r>
        <w:t>without changing any underlying engine**.</w:t>
      </w:r>
    </w:p>
    <w:p>
      <w:r>
        <w:t xml:space="preserve">The objective was no longer additional engines; it was a </w:t>
      </w:r>
      <w:r>
        <w:rPr>
          <w:b/>
        </w:rPr>
        <w:t>unified manager experience</w:t>
      </w:r>
      <w:r>
        <w:t>:</w:t>
      </w:r>
    </w:p>
    <w:p>
      <w:pPr>
        <w:pStyle w:val="ListBullet"/>
      </w:pPr>
      <w:r>
        <w:t>One persistent map at the centre.</w:t>
      </w:r>
    </w:p>
    <w:p>
      <w:pPr>
        <w:pStyle w:val="ListBullet"/>
      </w:pPr>
      <w:r>
        <w:t>One shared scenario state across Audit, Geo, Optimize, and Plan.</w:t>
      </w:r>
    </w:p>
    <w:p>
      <w:pPr>
        <w:pStyle w:val="ListBullet"/>
      </w:pPr>
      <w:r>
        <w:t xml:space="preserve">One workflow: </w:t>
      </w:r>
      <w:r>
        <w:rPr>
          <w:b/>
        </w:rPr>
        <w:t>Overview → Audit → Map → Optimize → Plan → Size</w:t>
      </w:r>
      <w:r>
        <w:t>.</w:t>
      </w:r>
    </w:p>
    <w:p>
      <w:pPr>
        <w:pStyle w:val="ListBullet"/>
      </w:pPr>
      <w:r>
        <w:t>Route boards, scenarios, audit findings, and metrics all bound to the same</w:t>
      </w:r>
    </w:p>
    <w:p>
      <w:r>
        <w:t>dataset + scenario state.</w:t>
      </w:r>
    </w:p>
    <w:p>
      <w:pPr>
        <w:pStyle w:val="ListBullet"/>
      </w:pPr>
      <w:r>
        <w:t>Preserve all existing engines and standalone routes.</w:t>
      </w:r>
    </w:p>
    <w:p>
      <w:pPr>
        <w:pStyle w:val="ListBullet"/>
      </w:pPr>
      <w:r>
        <w:t xml:space="preserve">Read-only + export only — </w:t>
      </w:r>
      <w:r>
        <w:rPr>
          <w:b/>
        </w:rPr>
        <w:t>Apply (RO-4 / VTP-4) stays paused</w:t>
      </w:r>
      <w:r>
        <w:t>.</w:t>
      </w:r>
    </w:p>
    <w:p>
      <w:pPr>
        <w:pStyle w:val="Heading2"/>
      </w:pPr>
      <w:r>
        <w:rPr>
          <w:color w:val="1F497D"/>
        </w:rPr>
        <w:t>2. What Shipped</w:t>
      </w:r>
    </w:p>
    <w:p>
      <w:pPr>
        <w:pStyle w:val="Heading3"/>
      </w:pPr>
      <w:r>
        <w:t>STUDIO-1 — Shell, shared state, embedded stages (</w:t>
      </w:r>
      <w:r>
        <w:rPr>
          <w:rFonts w:ascii="Consolas" w:hAnsi="Consolas"/>
          <w:sz w:val="19"/>
        </w:rPr>
        <w:t>c47c595</w:t>
      </w:r>
      <w:r>
        <w:t>)</w:t>
      </w:r>
    </w:p>
    <w:p>
      <w:pPr>
        <w:pStyle w:val="ListBullet"/>
      </w:pPr>
      <w:r>
        <w:t xml:space="preserve">New workspace at </w:t>
      </w:r>
      <w:r>
        <w:rPr>
          <w:b/>
        </w:rPr>
        <w:t>`/distribution/studio`</w:t>
      </w:r>
      <w:r>
        <w:t xml:space="preserve"> with a left sub-nav walking the</w:t>
      </w:r>
    </w:p>
    <w:p>
      <w:r>
        <w:t>manager through Overview → Audit → Map → Optimize → Plan → Size.</w:t>
      </w:r>
    </w:p>
    <w:p>
      <w:pPr>
        <w:pStyle w:val="ListBullet"/>
      </w:pPr>
      <w:r>
        <w:rPr>
          <w:b/>
        </w:rPr>
        <w:t>One shared dataset + scenario state</w:t>
      </w:r>
      <w:r>
        <w:t xml:space="preserve"> (</w:t>
      </w:r>
      <w:r>
        <w:rPr>
          <w:rFonts w:ascii="Consolas" w:hAnsi="Consolas"/>
          <w:sz w:val="19"/>
        </w:rPr>
        <w:t>scenarios[]</w:t>
      </w:r>
      <w:r>
        <w:t xml:space="preserve"> + </w:t>
      </w:r>
      <w:r>
        <w:rPr>
          <w:rFonts w:ascii="Consolas" w:hAnsi="Consolas"/>
          <w:sz w:val="19"/>
        </w:rPr>
        <w:t>activeId</w:t>
      </w:r>
      <w:r>
        <w:t>) threaded</w:t>
      </w:r>
    </w:p>
    <w:p>
      <w:r>
        <w:t xml:space="preserve">through every stage. A plan generated in </w:t>
      </w:r>
      <w:r>
        <w:rPr>
          <w:b/>
        </w:rPr>
        <w:t>Optimize</w:t>
      </w:r>
      <w:r>
        <w:t xml:space="preserve"> (</w:t>
      </w:r>
      <w:r>
        <w:rPr>
          <w:rFonts w:ascii="Consolas" w:hAnsi="Consolas"/>
          <w:sz w:val="19"/>
        </w:rPr>
        <w:t>balanceRoutes</w:t>
      </w:r>
      <w:r>
        <w:t>) becomes</w:t>
      </w:r>
    </w:p>
    <w:p>
      <w:r>
        <w:t xml:space="preserve">the scenario the </w:t>
      </w:r>
      <w:r>
        <w:rPr>
          <w:b/>
        </w:rPr>
        <w:t>Plan</w:t>
      </w:r>
      <w:r>
        <w:t xml:space="preserve"> board edits and the </w:t>
      </w:r>
      <w:r>
        <w:rPr>
          <w:b/>
        </w:rPr>
        <w:t>Map</w:t>
      </w:r>
      <w:r>
        <w:t xml:space="preserve"> colours — one object, no rebuild.</w:t>
      </w:r>
    </w:p>
    <w:p>
      <w:pPr>
        <w:pStyle w:val="ListBullet"/>
      </w:pPr>
      <w:r>
        <w:rPr>
          <w:b/>
        </w:rPr>
        <w:t>Persistent centre map</w:t>
      </w:r>
      <w:r>
        <w:t xml:space="preserve"> (single MapLibre instance, </w:t>
      </w:r>
      <w:r>
        <w:rPr>
          <w:rFonts w:ascii="Consolas" w:hAnsi="Consolas"/>
          <w:sz w:val="19"/>
        </w:rPr>
        <w:t>key="studio-map"</w:t>
      </w:r>
      <w:r>
        <w:t>):</w:t>
      </w:r>
    </w:p>
    <w:p>
      <w:r>
        <w:t>scenario-route colour in Optimize/Plan, geo layer (coverage / ownership /</w:t>
      </w:r>
    </w:p>
    <w:p>
      <w:r>
        <w:t>white-space / territory) elsewhere.</w:t>
      </w:r>
    </w:p>
    <w:p>
      <w:pPr>
        <w:pStyle w:val="ListBullet"/>
      </w:pPr>
      <w:r>
        <w:rPr>
          <w:b/>
        </w:rPr>
        <w:t>Composition only — zero engine changes.</w:t>
      </w:r>
      <w:r>
        <w:t xml:space="preserve"> Each stage renders an existing</w:t>
      </w:r>
    </w:p>
    <w:p>
      <w:r>
        <w:t xml:space="preserve">surface: </w:t>
      </w:r>
      <w:r>
        <w:rPr>
          <w:rFonts w:ascii="Consolas" w:hAnsi="Consolas"/>
          <w:sz w:val="19"/>
        </w:rPr>
        <w:t>TerritoryAuditView</w:t>
      </w:r>
      <w:r>
        <w:t xml:space="preserve">, </w:t>
      </w:r>
      <w:r>
        <w:rPr>
          <w:rFonts w:ascii="Consolas" w:hAnsi="Consolas"/>
          <w:sz w:val="19"/>
        </w:rPr>
        <w:t>buildGeoLayers</w:t>
      </w:r>
      <w:r>
        <w:t>, the Optimize current-vs-optimized</w:t>
      </w:r>
    </w:p>
    <w:p>
      <w:r>
        <w:t xml:space="preserve">compare, and the extracted controlled </w:t>
      </w:r>
      <w:r>
        <w:rPr>
          <w:rFonts w:ascii="Consolas" w:hAnsi="Consolas"/>
          <w:sz w:val="19"/>
        </w:rPr>
        <w:t>PlanningCanvas</w:t>
      </w:r>
      <w:r>
        <w:t>.</w:t>
      </w:r>
    </w:p>
    <w:p>
      <w:pPr>
        <w:pStyle w:val="ListBullet"/>
      </w:pPr>
      <w:r>
        <w:t xml:space="preserve">Extracted </w:t>
      </w:r>
      <w:r>
        <w:rPr>
          <w:rFonts w:ascii="Consolas" w:hAnsi="Consolas"/>
          <w:sz w:val="19"/>
        </w:rPr>
        <w:t>PlanningCanvas</w:t>
      </w:r>
      <w:r>
        <w:t xml:space="preserve"> + </w:t>
      </w:r>
      <w:r>
        <w:rPr>
          <w:rFonts w:ascii="Consolas" w:hAnsi="Consolas"/>
          <w:sz w:val="19"/>
        </w:rPr>
        <w:t>MetricsBar</w:t>
      </w:r>
      <w:r>
        <w:t xml:space="preserve"> so the standalone Planning Board and the</w:t>
      </w:r>
    </w:p>
    <w:p>
      <w:r>
        <w:t xml:space="preserve">Studio share </w:t>
      </w:r>
      <w:r>
        <w:rPr>
          <w:b/>
        </w:rPr>
        <w:t>one</w:t>
      </w:r>
      <w:r>
        <w:t xml:space="preserve"> canvas / scenario implementation.</w:t>
      </w:r>
    </w:p>
    <w:p>
      <w:pPr>
        <w:pStyle w:val="ListBullet"/>
      </w:pPr>
      <w:r>
        <w:t>Demo-aware server page (</w:t>
      </w:r>
      <w:r>
        <w:rPr>
          <w:rFonts w:ascii="Consolas" w:hAnsi="Consolas"/>
          <w:sz w:val="19"/>
        </w:rPr>
        <w:t>?demo=1</w:t>
      </w:r>
      <w:r>
        <w:t xml:space="preserve"> or empty live tenant → Jeddah 500), ungated</w:t>
      </w:r>
    </w:p>
    <w:p>
      <w:r>
        <w:t xml:space="preserve">under </w:t>
      </w:r>
      <w:r>
        <w:rPr>
          <w:rFonts w:ascii="Consolas" w:hAnsi="Consolas"/>
          <w:sz w:val="19"/>
        </w:rPr>
        <w:t>reports.view</w:t>
      </w:r>
      <w:r>
        <w:t xml:space="preserve">. </w:t>
      </w:r>
      <w:r>
        <w:rPr>
          <w:rFonts w:ascii="Consolas" w:hAnsi="Consolas"/>
          <w:sz w:val="19"/>
        </w:rPr>
        <w:t>studio</w:t>
      </w:r>
      <w:r>
        <w:t xml:space="preserve"> i18n namespace (ar/en symmetric) + nav item + label.</w:t>
      </w:r>
    </w:p>
    <w:p>
      <w:pPr>
        <w:pStyle w:val="Heading3"/>
      </w:pPr>
      <w:r>
        <w:t>STUDIO-2 — Map-centric layout + shared scenario flow (</w:t>
      </w:r>
      <w:r>
        <w:rPr>
          <w:rFonts w:ascii="Consolas" w:hAnsi="Consolas"/>
          <w:sz w:val="19"/>
        </w:rPr>
        <w:t>5cbed33</w:t>
      </w:r>
      <w:r>
        <w:t>)</w:t>
      </w:r>
    </w:p>
    <w:p>
      <w:pPr>
        <w:pStyle w:val="ListBullet"/>
      </w:pPr>
      <w:r>
        <w:t xml:space="preserve">The map is now the </w:t>
      </w:r>
      <w:r>
        <w:rPr>
          <w:b/>
        </w:rPr>
        <w:t>anchor</w:t>
      </w:r>
      <w:r>
        <w:t>: non-Plan stages render the persistent map at the</w:t>
      </w:r>
    </w:p>
    <w:p>
      <w:r>
        <w:t xml:space="preserve">centre with a </w:t>
      </w:r>
      <w:r>
        <w:rPr>
          <w:b/>
        </w:rPr>
        <w:t>contextual side panel</w:t>
      </w:r>
      <w:r>
        <w:t xml:space="preserve"> (</w:t>
      </w:r>
      <w:r>
        <w:rPr>
          <w:rFonts w:ascii="Consolas" w:hAnsi="Consolas"/>
          <w:sz w:val="19"/>
        </w:rPr>
        <w:t>xl:w-[380px]</w:t>
      </w:r>
      <w:r>
        <w:t xml:space="preserve"> on wide screens, stacked</w:t>
      </w:r>
    </w:p>
    <w:p>
      <w:r>
        <w:t>below on narrow screens).</w:t>
      </w:r>
    </w:p>
    <w:p>
      <w:pPr>
        <w:pStyle w:val="ListBullet"/>
      </w:pPr>
      <w:r>
        <w:t xml:space="preserve">The </w:t>
      </w:r>
      <w:r>
        <w:rPr>
          <w:b/>
        </w:rPr>
        <w:t>Plan</w:t>
      </w:r>
      <w:r>
        <w:t xml:space="preserve"> stage gives the map full width and **docks the route boards beneath</w:t>
      </w:r>
    </w:p>
    <w:p>
      <w:r>
        <w:t>it** — exactly the layout the UX package called for.</w:t>
      </w:r>
    </w:p>
    <w:p>
      <w:pPr>
        <w:pStyle w:val="ListBullet"/>
      </w:pPr>
      <w:r>
        <w:t xml:space="preserve">Shared scenario flow </w:t>
      </w:r>
      <w:r>
        <w:rPr>
          <w:b/>
        </w:rPr>
        <w:t>Optimize → Plan → Map</w:t>
      </w:r>
      <w:r>
        <w:t xml:space="preserve"> verified over a single object:</w:t>
      </w:r>
    </w:p>
    <w:p>
      <w:r>
        <w:rPr>
          <w:rFonts w:ascii="Consolas" w:hAnsi="Consolas"/>
          <w:sz w:val="19"/>
        </w:rPr>
        <w:t>balanceRoutes</w:t>
      </w:r>
      <w:r>
        <w:t xml:space="preserve"> writes the </w:t>
      </w:r>
      <w:r>
        <w:rPr>
          <w:rFonts w:ascii="Consolas" w:hAnsi="Consolas"/>
          <w:sz w:val="19"/>
        </w:rPr>
        <w:t>optimized</w:t>
      </w:r>
      <w:r>
        <w:t xml:space="preserve"> scenario, the stage switches to Plan, and</w:t>
      </w:r>
    </w:p>
    <w:p>
      <w:r>
        <w:t xml:space="preserve">the same </w:t>
      </w:r>
      <w:r>
        <w:rPr>
          <w:rFonts w:ascii="Consolas" w:hAnsi="Consolas"/>
          <w:sz w:val="19"/>
        </w:rPr>
        <w:t>PlanningCanvas</w:t>
      </w:r>
      <w:r>
        <w:t xml:space="preserve"> + map recolour from the same </w:t>
      </w:r>
      <w:r>
        <w:rPr>
          <w:rFonts w:ascii="Consolas" w:hAnsi="Consolas"/>
          <w:sz w:val="19"/>
        </w:rPr>
        <w:t>applyScenario</w:t>
      </w:r>
      <w:r>
        <w:t xml:space="preserve"> result.</w:t>
      </w:r>
    </w:p>
    <w:p>
      <w:pPr>
        <w:pStyle w:val="Heading3"/>
      </w:pPr>
      <w:r>
        <w:t>STUDIO-3 — Guided Overview, discoverability, mobile (</w:t>
      </w:r>
      <w:r>
        <w:rPr>
          <w:rFonts w:ascii="Consolas" w:hAnsi="Consolas"/>
          <w:sz w:val="19"/>
        </w:rPr>
        <w:t>d807830</w:t>
      </w:r>
      <w:r>
        <w:t>)</w:t>
      </w:r>
    </w:p>
    <w:p>
      <w:pPr>
        <w:pStyle w:val="ListBullet"/>
      </w:pPr>
      <w:r>
        <w:rPr>
          <w:b/>
        </w:rPr>
        <w:t>Overview</w:t>
      </w:r>
      <w:r>
        <w:t xml:space="preserve"> leads with an adaptive </w:t>
      </w:r>
      <w:r>
        <w:rPr>
          <w:b/>
        </w:rPr>
        <w:t>"Next step"</w:t>
      </w:r>
      <w:r>
        <w:t xml:space="preserve"> card — gaps → start with</w:t>
      </w:r>
    </w:p>
    <w:p>
      <w:r>
        <w:t>Audit; uneven balance → generate an optimized plan; else → fine-tune in Plan —</w:t>
      </w:r>
    </w:p>
    <w:p>
      <w:r>
        <w:t>above the one-click Optimize CTA, so a manager always knows the next move.</w:t>
      </w:r>
    </w:p>
    <w:p>
      <w:pPr>
        <w:pStyle w:val="ListBullet"/>
      </w:pPr>
      <w:r>
        <w:rPr>
          <w:b/>
        </w:rPr>
        <w:t>Discoverability + back-compat:</w:t>
      </w:r>
      <w:r>
        <w:t xml:space="preserve"> every embedded stage carries an</w:t>
      </w:r>
    </w:p>
    <w:p>
      <w:r>
        <w:rPr>
          <w:b/>
        </w:rPr>
        <w:t>"Open full tool ↗"</w:t>
      </w:r>
      <w:r>
        <w:t xml:space="preserve"> deep-link to its standalone route</w:t>
      </w:r>
    </w:p>
    <w:p>
      <w:r>
        <w:t>(</w:t>
      </w:r>
      <w:r>
        <w:rPr>
          <w:rFonts w:ascii="Consolas" w:hAnsi="Consolas"/>
          <w:sz w:val="19"/>
        </w:rPr>
        <w:t>/territory-audit</w:t>
      </w:r>
      <w:r>
        <w:t xml:space="preserve">, </w:t>
      </w:r>
      <w:r>
        <w:rPr>
          <w:rFonts w:ascii="Consolas" w:hAnsi="Consolas"/>
          <w:sz w:val="19"/>
        </w:rPr>
        <w:t>/geo</w:t>
      </w:r>
      <w:r>
        <w:t xml:space="preserve">, </w:t>
      </w:r>
      <w:r>
        <w:rPr>
          <w:rFonts w:ascii="Consolas" w:hAnsi="Consolas"/>
          <w:sz w:val="19"/>
        </w:rPr>
        <w:t>/route-optimizer</w:t>
      </w:r>
      <w:r>
        <w:t xml:space="preserve">, </w:t>
      </w:r>
      <w:r>
        <w:rPr>
          <w:rFonts w:ascii="Consolas" w:hAnsi="Consolas"/>
          <w:sz w:val="19"/>
        </w:rPr>
        <w:t>/planning-board</w:t>
      </w:r>
      <w:r>
        <w:t>).</w:t>
      </w:r>
    </w:p>
    <w:p>
      <w:pPr>
        <w:pStyle w:val="ListBullet"/>
      </w:pPr>
      <w:r>
        <w:rPr>
          <w:b/>
        </w:rPr>
        <w:t>Mobile:</w:t>
      </w:r>
      <w:r>
        <w:t xml:space="preserve"> sub-nav scrolls horizontally; the contextual panel stacks under the</w:t>
      </w:r>
    </w:p>
    <w:p>
      <w:r>
        <w:t>map on narrow screens.</w:t>
      </w:r>
    </w:p>
    <w:p>
      <w:pPr>
        <w:pStyle w:val="ListBullet"/>
      </w:pPr>
      <w:r>
        <w:rPr>
          <w:rFonts w:ascii="Consolas" w:hAnsi="Consolas"/>
          <w:sz w:val="19"/>
        </w:rPr>
        <w:t>studio</w:t>
      </w:r>
      <w:r>
        <w:t xml:space="preserve"> i18n extended (ar/en symmetric): </w:t>
      </w:r>
      <w:r>
        <w:rPr>
          <w:rFonts w:ascii="Consolas" w:hAnsi="Consolas"/>
          <w:sz w:val="19"/>
        </w:rPr>
        <w:t>nextStep</w:t>
      </w:r>
      <w:r>
        <w:t xml:space="preserve"> / </w:t>
      </w:r>
      <w:r>
        <w:rPr>
          <w:rFonts w:ascii="Consolas" w:hAnsi="Consolas"/>
          <w:sz w:val="19"/>
        </w:rPr>
        <w:t>nextAudit</w:t>
      </w:r>
      <w:r>
        <w:t xml:space="preserve"> /</w:t>
      </w:r>
    </w:p>
    <w:p>
      <w:r>
        <w:rPr>
          <w:rFonts w:ascii="Consolas" w:hAnsi="Consolas"/>
          <w:sz w:val="19"/>
        </w:rPr>
        <w:t>nextOptimize</w:t>
      </w:r>
      <w:r>
        <w:t xml:space="preserve"> / </w:t>
      </w:r>
      <w:r>
        <w:rPr>
          <w:rFonts w:ascii="Consolas" w:hAnsi="Consolas"/>
          <w:sz w:val="19"/>
        </w:rPr>
        <w:t>nextPlan</w:t>
      </w:r>
      <w:r>
        <w:t xml:space="preserve"> / </w:t>
      </w:r>
      <w:r>
        <w:rPr>
          <w:rFonts w:ascii="Consolas" w:hAnsi="Consolas"/>
          <w:sz w:val="19"/>
        </w:rPr>
        <w:t>openFull</w:t>
      </w:r>
      <w:r>
        <w:t>.</w:t>
      </w:r>
    </w:p>
    <w:p>
      <w:pPr>
        <w:pStyle w:val="Heading2"/>
      </w:pPr>
      <w:r>
        <w:rPr>
          <w:color w:val="1F497D"/>
        </w:rPr>
        <w:t>3. Stage Behaviour (Simple Mode)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Map centre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Contextual panel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Overview</w:t>
            </w:r>
          </w:p>
        </w:tc>
        <w:tc>
          <w:tcPr>
            <w:tcW w:type="dxa" w:w="2880"/>
          </w:tcPr>
          <w:p>
            <w:r>
              <w:t>Coverage layer</w:t>
            </w:r>
          </w:p>
        </w:tc>
        <w:tc>
          <w:tcPr>
            <w:tcW w:type="dxa" w:w="2880"/>
          </w:tcPr>
          <w:p>
            <w:r>
              <w:t>Headline KPIs (coverage % · gaps · white-space · balance) + adaptive "Next step" + Optimize CTA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Audit</w:t>
            </w:r>
          </w:p>
        </w:tc>
        <w:tc>
          <w:tcPr>
            <w:tcW w:type="dxa" w:w="2880"/>
          </w:tcPr>
          <w:p>
            <w:r>
              <w:t>Coverage / white-space</w:t>
            </w:r>
          </w:p>
        </w:tc>
        <w:tc>
          <w:tcPr>
            <w:tcW w:type="dxa" w:w="2880"/>
          </w:tcPr>
          <w:p>
            <w:r>
              <w:t>Territory Audit findings (gaps · imbalance · distribution) with drill-downs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Map</w:t>
            </w:r>
          </w:p>
        </w:tc>
        <w:tc>
          <w:tcPr>
            <w:tcW w:type="dxa" w:w="2880"/>
          </w:tcPr>
          <w:p>
            <w:r>
              <w:t>Layer switcher (customers · coverage · ownership · white-space · territory)</w:t>
            </w:r>
          </w:p>
        </w:tc>
        <w:tc>
          <w:tcPr>
            <w:tcW w:type="dxa" w:w="2880"/>
          </w:tcPr>
          <w:p>
            <w:r>
              <w:t>Layer lead text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Optimize</w:t>
            </w:r>
          </w:p>
        </w:tc>
        <w:tc>
          <w:tcPr>
            <w:tcW w:type="dxa" w:w="2880"/>
          </w:tcPr>
          <w:p>
            <w:r>
              <w:t>Generated route colour</w:t>
            </w:r>
          </w:p>
        </w:tc>
        <w:tc>
          <w:tcPr>
            <w:tcW w:type="dxa" w:w="2880"/>
          </w:tcPr>
          <w:p>
            <w:r>
              <w:t>Working days + Generate + Current-vs-Optimized compare table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t>Scenario route colour (full width)</w:t>
            </w:r>
          </w:p>
        </w:tc>
        <w:tc>
          <w:tcPr>
            <w:tcW w:type="dxa" w:w="2880"/>
          </w:tcPr>
          <w:p>
            <w:r>
              <w:t>Route boards / calendar dock below for drag-and-drop; live metrics header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"Needs the sizing engine" placeholder (reserved for priority #9)</w:t>
            </w:r>
          </w:p>
        </w:tc>
      </w:tr>
    </w:tbl>
    <w:p/>
    <w:p>
      <w:r>
        <w:t xml:space="preserve">Export (single model) is available throughout; </w:t>
      </w:r>
      <w:r>
        <w:rPr>
          <w:b/>
        </w:rPr>
        <w:t>Apply stays paused</w:t>
      </w:r>
      <w:r>
        <w:t>.</w:t>
      </w:r>
    </w:p>
    <w:p>
      <w:pPr>
        <w:pStyle w:val="Heading2"/>
      </w:pPr>
      <w:r>
        <w:rPr>
          <w:color w:val="1F497D"/>
        </w:rPr>
        <w:t>4.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Clean (all three phases)</w:t>
            </w:r>
          </w:p>
        </w:tc>
      </w:tr>
      <w:tr>
        <w:tc>
          <w:tcPr>
            <w:tcW w:type="dxa" w:w="4320"/>
          </w:tcPr>
          <w:p>
            <w:r>
              <w:t>TIS vitest</w:t>
            </w:r>
          </w:p>
        </w:tc>
        <w:tc>
          <w:tcPr>
            <w:tcW w:type="dxa" w:w="4320"/>
          </w:tcPr>
          <w:p>
            <w:r>
              <w:t>58 / 58 passing</w:t>
            </w:r>
          </w:p>
        </w:tc>
      </w:tr>
      <w:tr>
        <w:tc>
          <w:tcPr>
            <w:tcW w:type="dxa" w:w="4320"/>
          </w:tcPr>
          <w:p>
            <w:r>
              <w:t>i18n symmetry</w:t>
            </w:r>
          </w:p>
        </w:tc>
        <w:tc>
          <w:tcPr>
            <w:tcW w:type="dxa" w:w="4320"/>
          </w:tcPr>
          <w:p>
            <w:r>
              <w:t>8 / 8 passing (ar/en symmetric)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next build</w:t>
            </w:r>
          </w:p>
        </w:tc>
        <w:tc>
          <w:tcPr>
            <w:tcW w:type="dxa" w:w="4320"/>
          </w:tcPr>
          <w:p>
            <w:r>
              <w:t xml:space="preserve">Green — </w:t>
            </w:r>
            <w:r>
              <w:rPr>
                <w:rFonts w:ascii="Consolas" w:hAnsi="Consolas"/>
                <w:sz w:val="19"/>
              </w:rPr>
              <w:t>/distribution/studio</w:t>
            </w:r>
            <w:r>
              <w:t xml:space="preserve"> ≈ 9.3 kB</w:t>
            </w:r>
          </w:p>
        </w:tc>
      </w:tr>
      <w:tr>
        <w:tc>
          <w:tcPr>
            <w:tcW w:type="dxa" w:w="4320"/>
          </w:tcPr>
          <w:p>
            <w:r>
              <w:t xml:space="preserve">Vercel </w:t>
            </w:r>
            <w:r>
              <w:rPr>
                <w:rFonts w:ascii="Consolas" w:hAnsi="Consolas"/>
                <w:sz w:val="19"/>
              </w:rPr>
              <w:t>kako</w:t>
            </w:r>
          </w:p>
        </w:tc>
        <w:tc>
          <w:tcPr>
            <w:tcW w:type="dxa" w:w="4320"/>
          </w:tcPr>
          <w:p>
            <w:r>
              <w:t xml:space="preserve">Deployed </w:t>
            </w:r>
            <w:r>
              <w:rPr>
                <w:b/>
              </w:rPr>
              <w:t>Ready</w:t>
            </w:r>
          </w:p>
        </w:tc>
      </w:tr>
    </w:tbl>
    <w:p/>
    <w:p>
      <w:r>
        <w:t>A static studio-layout SVG (</w:t>
      </w:r>
      <w:r>
        <w:rPr>
          <w:rFonts w:ascii="Consolas" w:hAnsi="Consolas"/>
          <w:sz w:val="19"/>
        </w:rPr>
        <w:t>docs/tis-demo/jeddah-studio.svg</w:t>
      </w:r>
      <w:r>
        <w:t>) is committed as a</w:t>
      </w:r>
    </w:p>
    <w:p>
      <w:r>
        <w:t>headless screenshot stand-in: sub-nav · shared metrics strip · centre map coloured</w:t>
      </w:r>
    </w:p>
    <w:p>
      <w:r>
        <w:t>by the 6-route Plan scenario on the Jeddah demo.</w:t>
      </w:r>
    </w:p>
    <w:p>
      <w:r>
        <w:rPr>
          <w:b/>
        </w:rPr>
        <w:t>Preview:</w:t>
      </w:r>
      <w:r>
        <w:t xml:space="preserve"> </w:t>
      </w:r>
      <w:r>
        <w:rPr>
          <w:rFonts w:ascii="Consolas" w:hAnsi="Consolas"/>
          <w:sz w:val="19"/>
        </w:rPr>
        <w:t>/distribution/studio?demo=1</w:t>
      </w:r>
    </w:p>
    <w:p>
      <w:pPr>
        <w:pStyle w:val="Heading2"/>
      </w:pPr>
      <w:r>
        <w:rPr>
          <w:color w:val="1F497D"/>
        </w:rPr>
        <w:t>5. Boundaries Respected</w:t>
      </w:r>
    </w:p>
    <w:p>
      <w:pPr>
        <w:pStyle w:val="ListBullet"/>
      </w:pPr>
      <w:r>
        <w:rPr>
          <w:b/>
        </w:rPr>
        <w:t>No engine touched:</w:t>
      </w:r>
      <w:r>
        <w:t xml:space="preserve"> </w:t>
      </w:r>
      <w:r>
        <w:rPr>
          <w:rFonts w:ascii="Consolas" w:hAnsi="Consolas"/>
          <w:sz w:val="19"/>
        </w:rPr>
        <w:t>auditTerritory</w:t>
      </w:r>
      <w:r>
        <w:t xml:space="preserve">, </w:t>
      </w:r>
      <w:r>
        <w:rPr>
          <w:rFonts w:ascii="Consolas" w:hAnsi="Consolas"/>
          <w:sz w:val="19"/>
        </w:rPr>
        <w:t>buildGeoLayers</w:t>
      </w:r>
      <w:r>
        <w:t xml:space="preserve">, </w:t>
      </w:r>
      <w:r>
        <w:rPr>
          <w:rFonts w:ascii="Consolas" w:hAnsi="Consolas"/>
          <w:sz w:val="19"/>
        </w:rPr>
        <w:t>balanceRoutes</w:t>
      </w:r>
      <w:r>
        <w:t>,</w:t>
      </w:r>
    </w:p>
    <w:p>
      <w:r>
        <w:rPr>
          <w:rFonts w:ascii="Consolas" w:hAnsi="Consolas"/>
          <w:sz w:val="19"/>
        </w:rPr>
        <w:t>scenarioMetrics</w:t>
      </w:r>
      <w:r>
        <w:t xml:space="preserve">, </w:t>
      </w:r>
      <w:r>
        <w:rPr>
          <w:rFonts w:ascii="Consolas" w:hAnsi="Consolas"/>
          <w:sz w:val="19"/>
        </w:rPr>
        <w:t>plan-edit</w:t>
      </w:r>
      <w:r>
        <w:t xml:space="preserve">, </w:t>
      </w:r>
      <w:r>
        <w:rPr>
          <w:rFonts w:ascii="Consolas" w:hAnsi="Consolas"/>
          <w:sz w:val="19"/>
        </w:rPr>
        <w:t>datasetToCsv</w:t>
      </w:r>
      <w:r>
        <w:t xml:space="preserve"> consumed as-is.</w:t>
      </w:r>
    </w:p>
    <w:p>
      <w:pPr>
        <w:pStyle w:val="ListBullet"/>
      </w:pPr>
      <w:r>
        <w:rPr>
          <w:b/>
        </w:rPr>
        <w:t>Standalone routes preserved</w:t>
      </w:r>
      <w:r>
        <w:t xml:space="preserve"> and surfaced as deep-links.</w:t>
      </w:r>
    </w:p>
    <w:p>
      <w:pPr>
        <w:pStyle w:val="ListBullet"/>
      </w:pPr>
      <w:r>
        <w:rPr>
          <w:b/>
        </w:rPr>
        <w:t>Read-only + export only</w:t>
      </w:r>
      <w:r>
        <w:t xml:space="preserve"> — RO-4 / VTP-4 / Apply remain paused pending the</w:t>
      </w:r>
    </w:p>
    <w:p>
      <w:r>
        <w:t>write-architecture approval.</w:t>
      </w:r>
    </w:p>
    <w:p>
      <w:pPr>
        <w:pStyle w:val="ListBullet"/>
      </w:pPr>
      <w:r>
        <w:rPr>
          <w:b/>
        </w:rPr>
        <w:t>Simple Mode</w:t>
      </w:r>
      <w:r>
        <w:t xml:space="preserve"> kept throughout; Mode A/B/C graceful degradation intact via</w:t>
      </w:r>
    </w:p>
    <w:p>
      <w:r>
        <w:rPr>
          <w:rFonts w:ascii="Consolas" w:hAnsi="Consolas"/>
          <w:sz w:val="19"/>
        </w:rPr>
        <w:t>resolveCapabilities</w:t>
      </w:r>
      <w:r>
        <w:t>.</w:t>
      </w:r>
    </w:p>
    <w:p>
      <w:pPr>
        <w:pStyle w:val="ListBullet"/>
      </w:pPr>
      <w:r>
        <w:rPr>
          <w:b/>
        </w:rPr>
        <w:t>Demo isolation</w:t>
      </w:r>
      <w:r>
        <w:t xml:space="preserve"> — the Jeddah 500 demo is the validation environment; no</w:t>
      </w:r>
    </w:p>
    <w:p>
      <w:r>
        <w:t>production or pilot tenant data touched.</w:t>
      </w:r>
    </w:p>
    <w:p>
      <w:pPr>
        <w:pStyle w:val="Heading2"/>
      </w:pPr>
      <w:r>
        <w:rPr>
          <w:color w:val="1F497D"/>
        </w:rPr>
        <w:t>6. Next Workstream</w:t>
      </w:r>
    </w:p>
    <w:p>
      <w:r>
        <w:t xml:space="preserve">The reserved </w:t>
      </w:r>
      <w:r>
        <w:rPr>
          <w:b/>
        </w:rPr>
        <w:t>Size</w:t>
      </w:r>
      <w:r>
        <w:t xml:space="preserve"> stage awaits the </w:t>
      </w:r>
      <w:r>
        <w:rPr>
          <w:b/>
        </w:rPr>
        <w:t>Sales Force Sizing</w:t>
      </w:r>
      <w:r>
        <w:t xml:space="preserve"> engine (priority #9),</w:t>
      </w:r>
    </w:p>
    <w:p>
      <w:r>
        <w:t>which will fill it as a pure engine + thin surface, consistent with the rest of the</w:t>
      </w:r>
    </w:p>
    <w:p>
      <w:r>
        <w:t>TIS family. Awaiting direction to begin its design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