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color w:val="C2263B"/>
          <w:sz w:val="22"/>
        </w:rPr>
        <w:t>Roshen KSA Sales Dashboard — Trade Spend Native Module</w:t>
      </w:r>
    </w:p>
    <w:p>
      <w:pPr>
        <w:spacing w:after="80"/>
      </w:pPr>
      <w:r>
        <w:rPr>
          <w:b/>
          <w:i w:val="0"/>
          <w:color w:val="1A2942"/>
          <w:sz w:val="44"/>
        </w:rPr>
        <w:t>Data-Completeness Confirmation</w:t>
      </w:r>
    </w:p>
    <w:p>
      <w:pPr>
        <w:spacing w:after="160"/>
      </w:pPr>
      <w:r>
        <w:rPr>
          <w:b w:val="0"/>
          <w:i w:val="0"/>
          <w:color w:val="5A6B82"/>
          <w:sz w:val="20"/>
        </w:rPr>
        <w:t>Verification date: 17 July 2026 · every figure below was queried live from the production database and the two applications' data payloads.</w:t>
      </w:r>
    </w:p>
    <w:p>
      <w:pPr>
        <w:spacing w:after="200"/>
      </w:pPr>
      <w:r>
        <w:rPr>
          <w:b/>
          <w:i w:val="0"/>
          <w:color w:val="1B7F4B"/>
        </w:rPr>
        <w:t>CONFIRMED: no historical Trade Spend data has been lost. Zero records were skipped.</w:t>
      </w:r>
    </w:p>
    <w:p>
      <w:pPr>
        <w:pStyle w:val="Heading1"/>
      </w:pPr>
      <w:r>
        <w:t>1.  How the data works — zero-copy architecture</w:t>
      </w:r>
    </w:p>
    <w:p>
      <w:r>
        <w:rPr>
          <w:b w:val="0"/>
          <w:i w:val="0"/>
        </w:rPr>
        <w:t>There was no data migration in the copy sense, by design. The native Dashboard module reads the SAME `activities` table in the SAME Supabase project (“Roshen”) that the legacy application writes to — the same rows, the same columns, the same data/photos payloads, decoded by a byte-identical mapping function. Because there is exactly one copy of the data, loss, truncation or skipping is architecturally impossible. Realtime subscriptions plus 15-second polling keep both applications showing the same records within seconds of each other for the whole parallel-run period.</w:t>
      </w:r>
    </w:p>
    <w:p>
      <w:pPr>
        <w:pStyle w:val="Heading1"/>
      </w:pPr>
      <w:r>
        <w:t>2.  The numbers (queried live)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448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Legacy application</w:t>
            </w:r>
          </w:p>
        </w:tc>
        <w:tc>
          <w:tcPr>
            <w:tcW w:type="dxa" w:w="2880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Native Dashboard module</w:t>
            </w:r>
          </w:p>
        </w:tc>
        <w:tc>
          <w:tcPr>
            <w:tcW w:type="dxa" w:w="1296"/>
            <w:shd w:val="clear" w:color="auto" w:fill="1A2942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Trade Spend activities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49 (49 distinct codes)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49 — same table, same query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100%</w:t>
            </w:r>
          </w:p>
        </w:tc>
      </w:tr>
      <w:tr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Customers (sales data)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3,290 (embedded snapshot)</w:t>
            </w:r>
          </w:p>
        </w:tc>
        <w:tc>
          <w:tcPr>
            <w:tcW w:type="dxa" w:w="28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3,345 (Dashboard dataset — newer superset)</w:t>
            </w:r>
          </w:p>
        </w:tc>
        <w:tc>
          <w:tcPr>
            <w:tcW w:type="dxa" w:w="12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100%+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Customers referenced by activities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32 distinct codes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32 — carried on each activity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100% ①</w:t>
            </w:r>
          </w:p>
        </w:tc>
      </w:tr>
      <w:tr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Annual contracts (Rent 1 Year)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 exist in the data</w:t>
            </w:r>
          </w:p>
        </w:tc>
        <w:tc>
          <w:tcPr>
            <w:tcW w:type="dxa" w:w="28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n/a — none exist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Execution photos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12 — same photos payload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100%</w:t>
            </w:r>
          </w:p>
        </w:tc>
      </w:tr>
      <w:tr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Attachments (credit notes)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2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100%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Approval history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12 Roshen + 12 Relia decisions, 0 Final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identical rows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100% ②</w:t>
            </w:r>
          </w:p>
        </w:tc>
      </w:tr>
      <w:tr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Notes / comments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 activities with notes</w:t>
            </w:r>
          </w:p>
        </w:tc>
        <w:tc>
          <w:tcPr>
            <w:tcW w:type="dxa" w:w="28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2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100%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Sales rows behind uplift/ROI</w:t>
            </w:r>
          </w:p>
        </w:tc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93,550 (frozen snapshot)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97,664 (live dataset)</w:t>
            </w:r>
          </w:p>
        </w:tc>
        <w:tc>
          <w:tcPr>
            <w:tcW w:type="dxa" w:w="1296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100%+</w:t>
            </w:r>
          </w:p>
        </w:tc>
      </w:tr>
      <w:tr>
        <w:tc>
          <w:tcPr>
            <w:tcW w:type="dxa" w:w="273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Records skipped</w:t>
            </w:r>
          </w:p>
        </w:tc>
        <w:tc>
          <w:tcPr>
            <w:tcW w:type="dxa" w:w="2448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880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296"/>
            <w:shd w:val="clear" w:color="auto" w:fill="F1F4F8"/>
          </w:tcPr>
          <w:p>
            <w:pPr>
              <w:spacing w:after="20" w:before="20"/>
            </w:pPr>
            <w:r/>
            <w:r>
              <w:rPr>
                <w:b/>
                <w:color w:val="1B7F4B"/>
                <w:sz w:val="18"/>
              </w:rPr>
              <w:t>none</w:t>
            </w:r>
          </w:p>
        </w:tc>
      </w:tr>
    </w:tbl>
    <w:p>
      <w:pPr>
        <w:spacing w:after="40"/>
      </w:pPr>
    </w:p>
    <w:p>
      <w:r>
        <w:rPr>
          <w:b w:val="0"/>
          <w:i/>
        </w:rPr>
        <w:t>Category vocabulary: the legacy application carried 21 category names — the Dashboard's 20 plus a junk literal '0' left by an old Excel import and referenced by zero activities. No real category was dropped.</w:t>
      </w:r>
    </w:p>
    <w:p>
      <w:pPr>
        <w:pStyle w:val="Heading1"/>
      </w:pPr>
      <w:r>
        <w:t>3.  Two pre-existing data quirks (not migration losses)</w:t>
      </w:r>
    </w:p>
    <w:p>
      <w:pPr>
        <w:spacing w:after="40"/>
      </w:pPr>
      <w:r>
        <w:rPr>
          <w:b/>
          <w:i w:val="0"/>
        </w:rPr>
        <w:t>① Two activities carry malformed customer codes.</w:t>
      </w:r>
    </w:p>
    <w:p>
      <w:r>
        <w:rPr>
          <w:b w:val="0"/>
          <w:i w:val="0"/>
        </w:rPr>
        <w:t>TS-2026-046 (code “1495”) and TS-2026-047 (code “149”), created 16 July 2026 with truncated codes and empty customer names. They display fully in BOTH applications; neither application can attribute sales to them, because the truncated codes match no customer in either dataset. Fix: edit the activity and select the full account code (e.g. 10-001495).</w:t>
      </w:r>
    </w:p>
    <w:p>
      <w:pPr>
        <w:spacing w:after="40"/>
      </w:pPr>
      <w:r>
        <w:rPr>
          <w:b/>
          <w:i w:val="0"/>
        </w:rPr>
        <w:t>② Older approval decisions lack “who/when” stamps.</w:t>
      </w:r>
    </w:p>
    <w:p>
      <w:r>
        <w:rPr>
          <w:b w:val="0"/>
          <w:i w:val="0"/>
        </w:rPr>
        <w:t>All 12 Roshen and 12 Relia decisions are recorded, but only the most recent ones carry approver-name/timestamp metadata — the legacy application only began stamping those fields when the approvals workflow feature shipped. The earlier decisions never had that metadata anywhere, and both applications display them identically (status without a name). Nothing was lost in integration.</w:t>
      </w:r>
    </w:p>
    <w:p>
      <w:pPr>
        <w:pStyle w:val="Heading1"/>
      </w:pPr>
      <w:r>
        <w:t>4.  Will a historical record look exactly the same?</w:t>
      </w:r>
    </w:p>
    <w:p>
      <w:r>
        <w:rPr>
          <w:b w:val="0"/>
          <w:i w:val="0"/>
        </w:rPr>
        <w:t>Yes. Opening any historical activity in the native module rehydrates the identical stored object: customer, categories, SKUs, dates, amounts, Relia/Roshen split, stored pre/post sales, uplift, ROI, verdict, execution status, claim, photos, credit note, notes, and the full approval trail. Stored performance figures are displayed exactly as saved — the same as the legacy application.</w:t>
      </w:r>
    </w:p>
    <w:p>
      <w:r>
        <w:rPr>
          <w:b w:val="0"/>
          <w:i/>
        </w:rPr>
        <w:t>One intentional behavioural difference: if an old activity is EDITED and re-saved, its performance recalculates against the Dashboard's live sales dataset (97,664 rows) instead of the legacy app's frozen 93,550-row snapshot. That is the approved single-source-of-truth design — and it is exactly why the legacy application stays running in parallel until you have spot-checked real records and approve its retirement.</w:t>
      </w:r>
    </w:p>
    <w:p>
      <w:pPr>
        <w:pStyle w:val="Heading1"/>
      </w:pPr>
      <w:r>
        <w:t>5.  Verification method</w:t>
      </w:r>
    </w:p>
    <w:p>
      <w:pPr>
        <w:pStyle w:val="ListBullet"/>
        <w:spacing w:after="40"/>
      </w:pPr>
      <w:r>
        <w:t>Activities, photos, attachments, approvals, notes: SQL aggregates over the production `activities` table (counts, jsonb array lengths, decision filters).</w:t>
      </w:r>
    </w:p>
    <w:p>
      <w:pPr>
        <w:pStyle w:val="ListBullet"/>
        <w:spacing w:after="40"/>
      </w:pPr>
      <w:r>
        <w:t>Customer coverage: distinct activity customer codes joined against the Dashboard customer master.</w:t>
      </w:r>
    </w:p>
    <w:p>
      <w:pPr>
        <w:pStyle w:val="ListBullet"/>
        <w:spacing w:after="40"/>
      </w:pPr>
      <w:r>
        <w:t>Legacy totals: the legacy application's embedded sales payload decompressed and counted directly from public/trade_spend.html.</w:t>
      </w:r>
    </w:p>
    <w:p>
      <w:pPr>
        <w:pStyle w:val="ListBullet"/>
        <w:spacing w:after="40"/>
      </w:pPr>
      <w:r>
        <w:t>Module totals: the Dashboard dataset counted directly from the deployed application; module reads verified against the same table by code inspection and 37/37 mapping round-trip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A294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C226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29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