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FR-5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FR-5 Completion Review — Journey Generation &amp; Apply Consume the Frequency Resolver</w:t>
      </w:r>
    </w:p>
    <w:p>
      <w:r>
        <w:rPr>
          <w:b/>
        </w:rPr>
        <w:t>Workstream:</w:t>
      </w:r>
      <w:r>
        <w:t xml:space="preserve"> Visit-Frequency Resolution Layer → FR-5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commit </w:t>
      </w:r>
      <w:r>
        <w:rPr>
          <w:rFonts w:ascii="Consolas" w:hAnsi="Consolas"/>
          <w:sz w:val="19"/>
        </w:rPr>
        <w:t>b36bf1e</w:t>
      </w:r>
    </w:p>
    <w:p>
      <w:r>
        <w:rPr>
          <w:b/>
        </w:rPr>
        <w:t>Status:</w:t>
      </w:r>
      <w:r>
        <w:t xml:space="preserve"> Complete · validated · pushed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Objective</w:t>
      </w:r>
    </w:p>
    <w:p>
      <w:r>
        <w:t xml:space="preserve">Make customer-level visit frequency the </w:t>
      </w:r>
      <w:r>
        <w:rPr>
          <w:b/>
        </w:rPr>
        <w:t>authority for journey generation</w:t>
      </w:r>
      <w:r>
        <w:t>, with</w:t>
      </w:r>
    </w:p>
    <w:p>
      <w:r>
        <w:t>classification (A/B/C) demoted to a recommendation/fallback. This is the first FR phase that</w:t>
      </w:r>
    </w:p>
    <w:p>
      <w:r>
        <w:t xml:space="preserve">changes </w:t>
      </w:r>
      <w:r>
        <w:rPr>
          <w:b/>
        </w:rPr>
        <w:t>live generation behaviour</w:t>
      </w:r>
      <w:r>
        <w:t xml:space="preserve"> — done behaviour-preservingly for tenants that have not</w:t>
      </w:r>
    </w:p>
    <w:p>
      <w:r>
        <w:t>set customer-level values.</w:t>
      </w:r>
    </w:p>
    <w:p>
      <w:pPr>
        <w:pStyle w:val="Heading2"/>
      </w:pPr>
      <w:r>
        <w:rPr>
          <w:color w:val="1F497D"/>
        </w:rPr>
        <w:t>2. What Changed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generator.ts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GenCustomer</w:t>
            </w:r>
            <w:r>
              <w:t xml:space="preserve"> gains optional pre-resolved </w:t>
            </w:r>
            <w:r>
              <w:rPr>
                <w:rFonts w:ascii="Consolas" w:hAnsi="Consolas"/>
                <w:sz w:val="19"/>
              </w:rPr>
              <w:t>visitsPerWeek</w:t>
            </w:r>
            <w:r>
              <w:t>. When set it overrides the classification rule; when absent it falls back to the rule (today's behaviour). Pure.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customer-frequency.ts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resolveFrequencyForCustomer</w:t>
            </w:r>
            <w:r>
              <w:t xml:space="preserve"> — shared pure bridge (customer columns + grade code + company rules + override policy → </w:t>
            </w:r>
            <w:r>
              <w:rPr>
                <w:rFonts w:ascii="Consolas" w:hAnsi="Consolas"/>
                <w:sz w:val="19"/>
              </w:rPr>
              <w:t>ResolvedFrequency</w:t>
            </w:r>
            <w:r>
              <w:t xml:space="preserve">) so </w:t>
            </w:r>
            <w:r>
              <w:rPr>
                <w:b/>
              </w:rPr>
              <w:t>generate and apply schedule by the same precedence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journey-plan/actions.ts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generateJourneyProposal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applyJourneyProposal</w:t>
            </w:r>
            <w:r>
              <w:t xml:space="preserve"> resolve frequency per customer (customer-level wins; company override flag respected). The persisted </w:t>
            </w:r>
            <w:r>
              <w:rPr>
                <w:rFonts w:ascii="Consolas" w:hAnsi="Consolas"/>
                <w:sz w:val="19"/>
              </w:rPr>
              <w:t>erp_journey_plans.frequency</w:t>
            </w:r>
            <w:r>
              <w:t xml:space="preserve"> is written from the </w:t>
            </w:r>
            <w:r>
              <w:rPr>
                <w:b/>
              </w:rPr>
              <w:t>resolved</w:t>
            </w:r>
            <w:r>
              <w:t xml:space="preserve"> cadence, not raw classification. Proposal reports </w:t>
            </w:r>
            <w:r>
              <w:rPr>
                <w:rFonts w:ascii="Consolas" w:hAnsi="Consolas"/>
                <w:sz w:val="19"/>
              </w:rPr>
              <w:t>customerLevelCount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t>Wizard</w:t>
            </w:r>
          </w:p>
        </w:tc>
        <w:tc>
          <w:tcPr>
            <w:tcW w:type="dxa" w:w="4320"/>
          </w:tcPr>
          <w:p>
            <w:r>
              <w:t xml:space="preserve">New </w:t>
            </w:r>
            <w:r>
              <w:rPr>
                <w:b/>
              </w:rPr>
              <w:t>"From customer profile: N"</w:t>
            </w:r>
            <w:r>
              <w:t xml:space="preserve"> badge — Simple-Mode transparency showing where the cadence came from, without exposing any settings. (i18n </w:t>
            </w:r>
            <w:r>
              <w:rPr>
                <w:rFonts w:ascii="Consolas" w:hAnsi="Consolas"/>
                <w:sz w:val="19"/>
              </w:rPr>
              <w:t>journeyPlan.fromCustomer</w:t>
            </w:r>
            <w:r>
              <w:t>, symmetric ar/en.)</w:t>
            </w:r>
          </w:p>
        </w:tc>
      </w:tr>
    </w:tbl>
    <w:p/>
    <w:p>
      <w:pPr>
        <w:pStyle w:val="Heading2"/>
      </w:pPr>
      <w:r>
        <w:rPr>
          <w:color w:val="1F497D"/>
        </w:rPr>
        <w:t>3. Behaviour Change — the inversion is now complete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Customer state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Before FR-5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After FR-5</w:t>
            </w:r>
          </w:p>
        </w:tc>
      </w:tr>
      <w:tr>
        <w:tc>
          <w:tcPr>
            <w:tcW w:type="dxa" w:w="2880"/>
          </w:tcPr>
          <w:p>
            <w:r>
              <w:t xml:space="preserve">Has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 xml:space="preserve"> (manual / import)</w:t>
            </w:r>
          </w:p>
        </w:tc>
        <w:tc>
          <w:tcPr>
            <w:tcW w:type="dxa" w:w="2880"/>
          </w:tcPr>
          <w:p>
            <w:r>
              <w:t>Ignored — classification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Honoured</w:t>
            </w:r>
            <w:r>
              <w:t xml:space="preserve"> — drives schedule + persisted plan</w:t>
            </w:r>
          </w:p>
        </w:tc>
      </w:tr>
      <w:tr>
        <w:tc>
          <w:tcPr>
            <w:tcW w:type="dxa" w:w="2880"/>
          </w:tcPr>
          <w:p>
            <w:r>
              <w:t xml:space="preserve">No </w:t>
            </w:r>
            <w:r>
              <w:rPr>
                <w:rFonts w:ascii="Consolas" w:hAnsi="Consolas"/>
                <w:sz w:val="19"/>
              </w:rPr>
              <w:t>visit_frequency</w:t>
            </w:r>
            <w:r>
              <w:t>, has A/B/C grade</w:t>
            </w:r>
          </w:p>
        </w:tc>
        <w:tc>
          <w:tcPr>
            <w:tcW w:type="dxa" w:w="2880"/>
          </w:tcPr>
          <w:p>
            <w:r>
              <w:t>Classification used</w:t>
            </w:r>
          </w:p>
        </w:tc>
        <w:tc>
          <w:tcPr>
            <w:tcW w:type="dxa" w:w="2880"/>
          </w:tcPr>
          <w:p>
            <w:r>
              <w:t>Classification used (unchanged)</w:t>
            </w:r>
          </w:p>
        </w:tc>
      </w:tr>
      <w:tr>
        <w:tc>
          <w:tcPr>
            <w:tcW w:type="dxa" w:w="2880"/>
          </w:tcPr>
          <w:p>
            <w:r>
              <w:t>Company sets override flag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Classification supersedes customer-level (opt-in)</w:t>
            </w:r>
          </w:p>
        </w:tc>
      </w:tr>
      <w:tr>
        <w:tc>
          <w:tcPr>
            <w:tcW w:type="dxa" w:w="2880"/>
          </w:tcPr>
          <w:p>
            <w:r>
              <w:t>Neither value</w:t>
            </w:r>
          </w:p>
        </w:tc>
        <w:tc>
          <w:tcPr>
            <w:tcW w:type="dxa" w:w="2880"/>
          </w:tcPr>
          <w:p>
            <w:r>
              <w:t>1/week fallback</w:t>
            </w:r>
          </w:p>
        </w:tc>
        <w:tc>
          <w:tcPr>
            <w:tcW w:type="dxa" w:w="2880"/>
          </w:tcPr>
          <w:p>
            <w:r>
              <w:t>Skipped when no resolved frequency (cleaner)</w:t>
            </w:r>
          </w:p>
        </w:tc>
      </w:tr>
    </w:tbl>
    <w:p/>
    <w:p>
      <w:r>
        <w:rPr>
          <w:b/>
        </w:rPr>
        <w:t>Behaviour preserved</w:t>
      </w:r>
      <w:r>
        <w:t xml:space="preserve"> for every tenant that has not set customer-level frequencies (the</w:t>
      </w:r>
    </w:p>
    <w:p>
      <w:r>
        <w:t>default state after FR-2's no-backfill migration) — generation is identical to before.</w:t>
      </w:r>
    </w:p>
    <w:p>
      <w:pPr>
        <w:pStyle w:val="Heading2"/>
      </w:pPr>
      <w:r>
        <w:rPr>
          <w:color w:val="1F497D"/>
        </w:rPr>
        <w:t>4. Precedence (unchanged contract, now enforced end-to-end)</w:t>
      </w:r>
    </w:p>
    <w:p>
      <w:pPr>
        <w:ind w:left="240"/>
      </w:pPr>
      <w:r>
        <w:rPr>
          <w:rFonts w:ascii="Consolas" w:hAnsi="Consolas"/>
          <w:sz w:val="18"/>
        </w:rPr>
        <w:t>1. Customer-level frequency (manual | import)   ← primary authority</w:t>
        <w:br/>
        <w:t>2. Route / planning assignment                  (reserved; activates with planning UI)</w:t>
        <w:br/>
        <w:t>3. Classification recommendation (A/B/C)        ← fallback / auto-fill</w:t>
        <w:br/>
        <w:t>4. System default</w:t>
        <w:br/>
        <w:t xml:space="preserve">   + company override flag may let #3 supersede #1 (opt-in)</w:t>
      </w:r>
    </w:p>
    <w:p>
      <w:r>
        <w:t xml:space="preserve">The same resolver now feeds: the </w:t>
      </w:r>
      <w:r>
        <w:rPr>
          <w:b/>
        </w:rPr>
        <w:t>preview</w:t>
      </w:r>
      <w:r>
        <w:t xml:space="preserve"> (visits/week → day spread), the </w:t>
      </w:r>
      <w:r>
        <w:rPr>
          <w:b/>
        </w:rPr>
        <w:t>persisted plan</w:t>
      </w:r>
    </w:p>
    <w:p>
      <w:r>
        <w:t>(</w:t>
      </w:r>
      <w:r>
        <w:rPr>
          <w:rFonts w:ascii="Consolas" w:hAnsi="Consolas"/>
          <w:sz w:val="19"/>
        </w:rPr>
        <w:t>frequency</w:t>
      </w:r>
      <w:r>
        <w:t xml:space="preserve"> enum), and — via FR-1…FR-3 — the </w:t>
      </w:r>
      <w:r>
        <w:rPr>
          <w:b/>
        </w:rPr>
        <w:t>Customer 360 display</w:t>
      </w:r>
      <w:r>
        <w:t xml:space="preserve"> and </w:t>
      </w:r>
      <w:r>
        <w:rPr>
          <w:b/>
        </w:rPr>
        <w:t>cadence/coverage</w:t>
      </w:r>
    </w:p>
    <w:p>
      <w:r>
        <w:t>engines (CJ-2/CJ-3). One authority, every surface.</w:t>
      </w:r>
    </w:p>
    <w:p>
      <w:pPr>
        <w:pStyle w:val="Heading2"/>
      </w:pPr>
      <w:r>
        <w:rPr>
          <w:color w:val="1F497D"/>
        </w:rPr>
        <w:t>5. Simple Mode Alignment</w:t>
      </w:r>
    </w:p>
    <w:p>
      <w:pPr>
        <w:pStyle w:val="ListBullet"/>
      </w:pPr>
      <w:r>
        <w:t>Zero-configuration happy path unchanged: **pick route + working days → Generate → Preview →</w:t>
      </w:r>
    </w:p>
    <w:p>
      <w:r>
        <w:t>Apply.**</w:t>
      </w:r>
    </w:p>
    <w:p>
      <w:pPr>
        <w:pStyle w:val="ListBullet"/>
      </w:pPr>
      <w:r>
        <w:t xml:space="preserve">Per-customer frequencies (entered or imported) are honoured </w:t>
      </w:r>
      <w:r>
        <w:rPr>
          <w:b/>
        </w:rPr>
        <w:t>silently</w:t>
      </w:r>
      <w:r>
        <w:t xml:space="preserve"> — no new controls.</w:t>
      </w:r>
    </w:p>
    <w:p>
      <w:pPr>
        <w:pStyle w:val="ListBullet"/>
      </w:pPr>
      <w:r>
        <w:t xml:space="preserve">The wizard states, in plain language, how many stops came </w:t>
      </w:r>
      <w:r>
        <w:rPr>
          <w:b/>
        </w:rPr>
        <w:t>From customer profile</w:t>
      </w:r>
      <w:r>
        <w:t xml:space="preserve"> vs the</w:t>
      </w:r>
    </w:p>
    <w:p>
      <w:r>
        <w:t>classification recommendation — transparency without technical settings.</w:t>
      </w:r>
    </w:p>
    <w:p>
      <w:pPr>
        <w:pStyle w:val="Heading2"/>
      </w:pPr>
      <w:r>
        <w:rPr>
          <w:color w:val="1F497D"/>
        </w:rPr>
        <w:t>6.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vitest</w:t>
            </w:r>
            <w:r>
              <w:t xml:space="preserve"> (full)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1681 passed</w:t>
            </w:r>
            <w:r>
              <w:t xml:space="preserve"> / 192 skipped · 0 regressions (+12 new)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 xml:space="preserve">Compiled successfully · </w:t>
            </w:r>
            <w:r>
              <w:rPr>
                <w:rFonts w:ascii="Consolas" w:hAnsi="Consolas"/>
                <w:sz w:val="19"/>
              </w:rPr>
              <w:t>/distribution/journey-plan</w:t>
            </w:r>
            <w:r>
              <w:t xml:space="preserve"> built</w:t>
            </w:r>
          </w:p>
        </w:tc>
      </w:tr>
    </w:tbl>
    <w:p/>
    <w:p>
      <w:r>
        <w:t xml:space="preserve">New tests: </w:t>
      </w:r>
      <w:r>
        <w:rPr>
          <w:rFonts w:ascii="Consolas" w:hAnsi="Consolas"/>
          <w:sz w:val="19"/>
        </w:rPr>
        <w:t>resolveFrequencyForCustomer</w:t>
      </w:r>
      <w:r>
        <w:t xml:space="preserve"> (grade fill · customer override · null · company</w:t>
      </w:r>
    </w:p>
    <w:p>
      <w:r>
        <w:t xml:space="preserve">override) and </w:t>
      </w:r>
      <w:r>
        <w:rPr>
          <w:rFonts w:ascii="Consolas" w:hAnsi="Consolas"/>
          <w:sz w:val="19"/>
        </w:rPr>
        <w:t>generator</w:t>
      </w:r>
      <w:r>
        <w:t xml:space="preserve"> </w:t>
      </w:r>
      <w:r>
        <w:rPr>
          <w:rFonts w:ascii="Consolas" w:hAnsi="Consolas"/>
          <w:sz w:val="19"/>
        </w:rPr>
        <w:t>visitsPerWeek</w:t>
      </w:r>
      <w:r>
        <w:t xml:space="preserve"> override (fallback · override down · override up ·</w:t>
      </w:r>
    </w:p>
    <w:p>
      <w:r>
        <w:t>skip).</w:t>
      </w:r>
    </w:p>
    <w:p>
      <w:pPr>
        <w:pStyle w:val="Heading2"/>
      </w:pPr>
      <w:r>
        <w:rPr>
          <w:color w:val="1F497D"/>
        </w:rPr>
        <w:t>7. FR Workstream 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Resolver + value model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Additive storage + source tracking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Governed manual entry + Customer 360 display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 xml:space="preserve">Excel import + </w:t>
            </w:r>
            <w:r>
              <w:rPr>
                <w:rFonts w:ascii="Consolas" w:hAnsi="Consolas"/>
                <w:sz w:val="19"/>
              </w:rPr>
              <w:t>source='import'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FR-5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Generation + apply consume the resolver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FR-6</w:t>
            </w:r>
          </w:p>
        </w:tc>
        <w:tc>
          <w:tcPr>
            <w:tcW w:type="dxa" w:w="2880"/>
          </w:tcPr>
          <w:p>
            <w:r>
              <w:t xml:space="preserve">Annual / custom cadence (extend </w:t>
            </w:r>
            <w:r>
              <w:rPr>
                <w:rFonts w:ascii="Consolas" w:hAnsi="Consolas"/>
                <w:sz w:val="19"/>
              </w:rPr>
              <w:t>isVisitDueOn</w:t>
            </w:r>
            <w:r>
              <w:t xml:space="preserve"> + richer plan-row frequency)</w:t>
            </w:r>
          </w:p>
        </w:tc>
        <w:tc>
          <w:tcPr>
            <w:tcW w:type="dxa" w:w="2880"/>
          </w:tcPr>
          <w:p>
            <w:r>
              <w:t>⏳ forward-looking</w:t>
            </w:r>
          </w:p>
        </w:tc>
      </w:tr>
    </w:tbl>
    <w:p/>
    <w:p>
      <w:pPr>
        <w:pStyle w:val="Heading2"/>
      </w:pPr>
      <w:r>
        <w:rPr>
          <w:color w:val="1F497D"/>
        </w:rPr>
        <w:t>8. Recommended Next Step</w:t>
      </w:r>
    </w:p>
    <w:p>
      <w:r>
        <w:rPr>
          <w:b/>
        </w:rPr>
        <w:t>FR-6</w:t>
      </w:r>
      <w:r>
        <w:t xml:space="preserve"> to fully close the FR workstream (weekly/biweekly/monthly are fully working today;</w:t>
      </w:r>
    </w:p>
    <w:p>
      <w:r>
        <w:t>FR-6 adds annual/custom cadence end-to-end). Per the approved priority order — finish FR, then</w:t>
      </w:r>
    </w:p>
    <w:p>
      <w:r>
        <w:t>Coverage, then TIS foundations — FR-6 is the last FR item before the Coverage workstream.</w:t>
      </w:r>
    </w:p>
    <w:p>
      <w:r>
        <w:t>Awaiting go-ahead.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