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0"/>
        </w:rPr>
        <w:t>Phase A — Governance Hygiene</w:t>
      </w:r>
    </w:p>
    <w:p>
      <w:pPr>
        <w:jc w:val="center"/>
      </w:pPr>
      <w:r>
        <w:rPr>
          <w:color w:val="555555"/>
          <w:sz w:val="26"/>
        </w:rPr>
        <w:t>Implementation Checklist &amp; Status Tracker</w:t>
      </w:r>
    </w:p>
    <w:p/>
    <w:p/>
    <w:p>
      <w:pPr>
        <w:jc w:val="center"/>
      </w:pPr>
      <w:r>
        <w:rPr>
          <w:i/>
          <w:color w:val="555555"/>
          <w:sz w:val="18"/>
        </w:rPr>
        <w:t>Zero-impact items only · Structural simplification (Phase B/C/D) remains roadmap-only · June 2026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Scope &amp; Guardrails</w:t>
      </w:r>
    </w:p>
    <w:p>
      <w:r>
        <w:rPr>
          <w:b/>
          <w:i w:val="0"/>
          <w:color w:val="1A1A1A"/>
          <w:sz w:val="20"/>
        </w:rPr>
        <w:t>This tracker covers ONLY Phase A (Governance Hygiene) — the five zero-impact items from the Implementation Roadmap. Every item here is additive, reversible, and invisible to existing tenants. Nothing in this document merges, migrates, or reduces anything a tenant relies on.</w:t>
      </w:r>
    </w:p>
    <w:p>
      <w:pPr>
        <w:pStyle w:val="Heading2"/>
      </w:pPr>
      <w:r>
        <w:rPr>
          <w:b/>
          <w:color w:val="1B4F9E"/>
          <w:sz w:val="22"/>
        </w:rPr>
        <w:t>Locked OUT of Phase A (roadmap-only until after first paying customer + usage data)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33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Deferred (DO NOT do now)</w:t>
            </w:r>
          </w:p>
        </w:tc>
        <w:tc>
          <w:tcPr>
            <w:tcW w:type="dxa" w:w="345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Belongs to</w:t>
            </w:r>
          </w:p>
        </w:tc>
      </w:tr>
      <w:tr>
        <w:tc>
          <w:tcPr>
            <w:tcW w:type="dxa" w:w="6336"/>
            <w:shd w:val="clear" w:color="auto" w:fill="F8E3E3"/>
          </w:tcPr>
          <w:p>
            <w:r/>
            <w:r>
              <w:rPr>
                <w:sz w:val="16"/>
              </w:rPr>
              <w:t>Merge business types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Phase B/C</w:t>
            </w:r>
          </w:p>
        </w:tc>
      </w:tr>
      <w:tr>
        <w:tc>
          <w:tcPr>
            <w:tcW w:type="dxa" w:w="6336"/>
            <w:shd w:val="clear" w:color="auto" w:fill="F8E3E3"/>
          </w:tcPr>
          <w:p>
            <w:r/>
            <w:r>
              <w:rPr>
                <w:sz w:val="16"/>
              </w:rPr>
              <w:t>Merge / retire roles (mgmt tiers)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Phase C</w:t>
            </w:r>
          </w:p>
        </w:tc>
      </w:tr>
      <w:tr>
        <w:tc>
          <w:tcPr>
            <w:tcW w:type="dxa" w:w="6336"/>
            <w:shd w:val="clear" w:color="auto" w:fill="F8E3E3"/>
          </w:tcPr>
          <w:p>
            <w:r/>
            <w:r>
              <w:rPr>
                <w:sz w:val="16"/>
              </w:rPr>
              <w:t>Reduce / delete permissions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Phase C</w:t>
            </w:r>
          </w:p>
        </w:tc>
      </w:tr>
      <w:tr>
        <w:tc>
          <w:tcPr>
            <w:tcW w:type="dxa" w:w="6336"/>
            <w:shd w:val="clear" w:color="auto" w:fill="F8E3E3"/>
          </w:tcPr>
          <w:p>
            <w:r/>
            <w:r>
              <w:rPr>
                <w:sz w:val="16"/>
              </w:rPr>
              <w:t>Migrate any tenant (business_type, role assignments)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Phase C</w:t>
            </w:r>
          </w:p>
        </w:tc>
      </w:tr>
      <w:tr>
        <w:tc>
          <w:tcPr>
            <w:tcW w:type="dxa" w:w="6336"/>
            <w:shd w:val="clear" w:color="auto" w:fill="F8E3E3"/>
          </w:tcPr>
          <w:p>
            <w:r/>
            <w:r>
              <w:rPr>
                <w:sz w:val="16"/>
              </w:rPr>
              <w:t>Role inheritance / archetype module inheritance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Phase D</w:t>
            </w:r>
          </w:p>
        </w:tc>
      </w:tr>
    </w:tbl>
    <w:p>
      <w:r>
        <w:rPr>
          <w:b w:val="0"/>
          <w:i/>
          <w:color w:val="1F2A44"/>
          <w:sz w:val="20"/>
        </w:rPr>
        <w:t>Current objective (per founder): (1) complete pilot validation, (2) get first paying customer, (3) collect real usage data. Structural simplification is revisited only after that.</w:t>
      </w:r>
    </w:p>
    <w:p>
      <w:pPr>
        <w:pStyle w:val="Heading1"/>
      </w:pPr>
      <w:r>
        <w:rPr>
          <w:b/>
          <w:color w:val="1F2A44"/>
          <w:sz w:val="28"/>
        </w:rPr>
        <w:t>Status Summary</w:t>
      </w:r>
    </w:p>
    <w:p>
      <w:r>
        <w:rPr>
          <w:b w:val="0"/>
          <w:i w:val="0"/>
          <w:color w:val="1A1A1A"/>
          <w:sz w:val="20"/>
        </w:rPr>
        <w:t>Legend: ☐ Not Started (Ready) · ◐ In Progress · ☑ Done · ⚠ Blocked. As of this revision, no Phase A item has been started — execution awaits the founder's go-ahead.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88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Phase A item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58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Zero-impact?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Reversible?</w:t>
            </w:r>
          </w:p>
        </w:tc>
        <w:tc>
          <w:tcPr>
            <w:tcW w:type="dxa" w:w="100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Migration?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3888"/>
          </w:tcPr>
          <w:p>
            <w:r/>
            <w:r>
              <w:rPr>
                <w:sz w:val="16"/>
              </w:rPr>
              <w:t>Remove dead permission keys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Code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96"/>
            <w:shd w:val="clear" w:color="auto" w:fill="ECECEC"/>
          </w:tcPr>
          <w:p>
            <w:r/>
            <w:r>
              <w:rPr>
                <w:sz w:val="16"/>
              </w:rPr>
              <w:t>☐ Ready</w:t>
            </w:r>
          </w:p>
        </w:tc>
      </w:tr>
      <w:tr>
        <w:tc>
          <w:tcPr>
            <w:tcW w:type="dxa" w:w="576"/>
            <w:shd w:val="clear" w:color="auto" w:fill="F2F4F8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3888"/>
            <w:shd w:val="clear" w:color="auto" w:fill="F2F4F8"/>
          </w:tcPr>
          <w:p>
            <w:r/>
            <w:r>
              <w:rPr>
                <w:sz w:val="16"/>
              </w:rPr>
              <w:t>Add permission aliases (additive)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Code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96"/>
            <w:shd w:val="clear" w:color="auto" w:fill="ECECEC"/>
          </w:tcPr>
          <w:p>
            <w:r/>
            <w:r>
              <w:rPr>
                <w:sz w:val="16"/>
              </w:rPr>
              <w:t>☐ Ready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3888"/>
          </w:tcPr>
          <w:p>
            <w:r/>
            <w:r>
              <w:rPr>
                <w:sz w:val="16"/>
              </w:rPr>
              <w:t>Bind nav + page to same capability flag (Trade Spend 404 fix)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Bug fix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Yes (strictly better)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96"/>
            <w:shd w:val="clear" w:color="auto" w:fill="ECECEC"/>
          </w:tcPr>
          <w:p>
            <w:r/>
            <w:r>
              <w:rPr>
                <w:sz w:val="16"/>
              </w:rPr>
              <w:t>☐ Ready</w:t>
            </w:r>
          </w:p>
        </w:tc>
      </w:tr>
      <w:tr>
        <w:tc>
          <w:tcPr>
            <w:tcW w:type="dxa" w:w="576"/>
            <w:shd w:val="clear" w:color="auto" w:fill="F2F4F8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3888"/>
            <w:shd w:val="clear" w:color="auto" w:fill="F2F4F8"/>
          </w:tcPr>
          <w:p>
            <w:r/>
            <w:r>
              <w:rPr>
                <w:sz w:val="16"/>
              </w:rPr>
              <w:t>Document 5 archetypes; curate onboarding picker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Docs/UX copy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96"/>
            <w:shd w:val="clear" w:color="auto" w:fill="ECECEC"/>
          </w:tcPr>
          <w:p>
            <w:r/>
            <w:r>
              <w:rPr>
                <w:sz w:val="16"/>
              </w:rPr>
              <w:t>☐ Ready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3888"/>
          </w:tcPr>
          <w:p>
            <w:r/>
            <w:r>
              <w:rPr>
                <w:sz w:val="16"/>
              </w:rPr>
              <w:t>Split feature-flag kinds in registry/docs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Docs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96"/>
            <w:shd w:val="clear" w:color="auto" w:fill="ECECEC"/>
          </w:tcPr>
          <w:p>
            <w:r/>
            <w:r>
              <w:rPr>
                <w:sz w:val="16"/>
              </w:rPr>
              <w:t>☐ Ready</w:t>
            </w:r>
          </w:p>
        </w:tc>
      </w:tr>
    </w:tbl>
    <w:p>
      <w:r>
        <w:rPr>
          <w:b/>
          <w:i w:val="0"/>
          <w:color w:val="1A1A1A"/>
          <w:sz w:val="20"/>
        </w:rPr>
        <w:t>Overall completion: 0 / 5.  Recommended execution order: A4, A5 (doc-only, do anytime) → A3 (closes a real bug, freeze-allowed) → A1, A2 (permission hygiene, additive). None require a tenant migration or a maintenance window.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A1 — Remove dead permission keys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7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Type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Code (registry only)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Zero-impact</w:t>
            </w:r>
          </w:p>
        </w:tc>
        <w:tc>
          <w:tcPr>
            <w:tcW w:type="dxa" w:w="7776"/>
            <w:shd w:val="clear" w:color="auto" w:fill="F2F4F8"/>
          </w:tcPr>
          <w:p>
            <w:r/>
            <w:r>
              <w:rPr>
                <w:sz w:val="16"/>
              </w:rPr>
              <w:t>Yes — the keys enforce nothing today, so removal cannot change any tenant's access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Reversible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Yes — re-adding the key strings restores the prior seed list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Data migration</w:t>
            </w:r>
          </w:p>
        </w:tc>
        <w:tc>
          <w:tcPr>
            <w:tcW w:type="dxa" w:w="7776"/>
            <w:shd w:val="clear" w:color="auto" w:fill="F2F4F8"/>
          </w:tcPr>
          <w:p>
            <w:r/>
            <w:r>
              <w:rPr>
                <w:sz w:val="16"/>
              </w:rPr>
              <w:t>No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Status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☐ Not Started (Ready)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Owner</w:t>
            </w:r>
          </w:p>
        </w:tc>
        <w:tc>
          <w:tcPr>
            <w:tcW w:type="dxa" w:w="7776"/>
            <w:shd w:val="clear" w:color="auto" w:fill="F2F4F8"/>
          </w:tcPr>
          <w:p>
            <w:r/>
            <w:r>
              <w:rPr>
                <w:sz w:val="16"/>
              </w:rPr>
              <w:t>(assign)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Target phase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A — Governance Hygiene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What &amp; why</w:t>
      </w:r>
    </w:p>
    <w:p>
      <w:r>
        <w:rPr>
          <w:b w:val="0"/>
          <w:i w:val="0"/>
          <w:color w:val="1A1A1A"/>
          <w:sz w:val="20"/>
        </w:rPr>
        <w:t>change_requests.create / change_requests.approve / change_requests.manage and trade_spend.manage are granted in the database role seeds but are NOT part of the code Permission type — nothing enforces them. Removing them eliminates a source of audit confusion with no behavioural change.</w:t>
      </w:r>
    </w:p>
    <w:p>
      <w:pPr>
        <w:pStyle w:val="Heading2"/>
      </w:pPr>
      <w:r>
        <w:rPr>
          <w:b/>
          <w:color w:val="1B4F9E"/>
          <w:sz w:val="22"/>
        </w:rPr>
        <w:t>Implementation sub-tasks (tick as completed)</w:t>
      </w:r>
    </w:p>
    <w:p>
      <w:r>
        <w:rPr>
          <w:color w:val="1A1A1A"/>
          <w:sz w:val="19"/>
        </w:rPr>
        <w:t>☐  Confirm via grep that the keys are absent from the code Permission union / hasPermission paths.</w:t>
      </w:r>
    </w:p>
    <w:p>
      <w:r>
        <w:rPr>
          <w:color w:val="1A1A1A"/>
          <w:sz w:val="19"/>
        </w:rPr>
        <w:t>☐  List every seed/role row that grants the dead keys (read-only inventory, no change).</w:t>
      </w:r>
    </w:p>
    <w:p>
      <w:r>
        <w:rPr>
          <w:color w:val="1A1A1A"/>
          <w:sz w:val="19"/>
        </w:rPr>
        <w:t>☐  Remove the dead keys from future seed definitions (do not retro-edit live tenant grants in Phase A).</w:t>
      </w:r>
    </w:p>
    <w:p>
      <w:r>
        <w:rPr>
          <w:color w:val="1A1A1A"/>
          <w:sz w:val="19"/>
        </w:rPr>
        <w:t>☐  Update the permission registry test to assert the keys no longer appear.</w:t>
      </w:r>
    </w:p>
    <w:p>
      <w:r>
        <w:rPr>
          <w:color w:val="1A1A1A"/>
          <w:sz w:val="19"/>
        </w:rPr>
        <w:t>☐  Note in the governance handbook that these are retired.</w:t>
      </w:r>
    </w:p>
    <w:p>
      <w:pPr>
        <w:pStyle w:val="Heading2"/>
      </w:pPr>
      <w:r>
        <w:rPr>
          <w:b/>
          <w:color w:val="1B4F9E"/>
          <w:sz w:val="22"/>
        </w:rPr>
        <w:t>Acceptance criteria</w:t>
      </w:r>
    </w:p>
    <w:p>
      <w:pPr>
        <w:pStyle w:val="ListBullet"/>
      </w:pPr>
      <w:r>
        <w:rPr>
          <w:b w:val="0"/>
          <w:color w:val="1A1A1A"/>
          <w:sz w:val="19"/>
        </w:rPr>
        <w:t>No code path references the removed keys.</w:t>
      </w:r>
    </w:p>
    <w:p>
      <w:pPr>
        <w:pStyle w:val="ListBullet"/>
      </w:pPr>
      <w:r>
        <w:rPr>
          <w:b w:val="0"/>
          <w:color w:val="1A1A1A"/>
          <w:sz w:val="19"/>
        </w:rPr>
        <w:t>Permission registry test green.</w:t>
      </w:r>
    </w:p>
    <w:p>
      <w:pPr>
        <w:pStyle w:val="ListBullet"/>
      </w:pPr>
      <w:r>
        <w:rPr>
          <w:b w:val="0"/>
          <w:color w:val="1A1A1A"/>
          <w:sz w:val="19"/>
        </w:rPr>
        <w:t>Existing tenants' effective permissions unchanged (dead keys never granted anything).</w:t>
      </w:r>
    </w:p>
    <w:p>
      <w:pPr>
        <w:pStyle w:val="Heading2"/>
      </w:pPr>
      <w:r>
        <w:rPr>
          <w:b/>
          <w:color w:val="1B4F9E"/>
          <w:sz w:val="22"/>
        </w:rPr>
        <w:t>Verification</w:t>
      </w:r>
    </w:p>
    <w:p>
      <w:pPr>
        <w:pStyle w:val="ListBullet"/>
      </w:pPr>
      <w:r>
        <w:rPr>
          <w:b w:val="0"/>
          <w:color w:val="1B4F9E"/>
          <w:sz w:val="19"/>
        </w:rPr>
        <w:t>grep for each key returns zero enforcement references.</w:t>
      </w:r>
    </w:p>
    <w:p>
      <w:pPr>
        <w:pStyle w:val="ListBullet"/>
      </w:pPr>
      <w:r>
        <w:rPr>
          <w:b w:val="0"/>
          <w:color w:val="1B4F9E"/>
          <w:sz w:val="19"/>
        </w:rPr>
        <w:t>Run the feature-catalog / permission registry test suite — must stay green.</w:t>
      </w:r>
    </w:p>
    <w:p>
      <w:pPr>
        <w:pStyle w:val="ListBullet"/>
      </w:pPr>
      <w:r>
        <w:rPr>
          <w:b w:val="0"/>
          <w:color w:val="1B4F9E"/>
          <w:sz w:val="19"/>
        </w:rPr>
        <w:t>Spot-check one tenant's resolved permissions before/after — identical.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A2 — Add permission aliases (additive)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7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Type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Code (resolver only)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Zero-impact</w:t>
            </w:r>
          </w:p>
        </w:tc>
        <w:tc>
          <w:tcPr>
            <w:tcW w:type="dxa" w:w="7776"/>
            <w:shd w:val="clear" w:color="auto" w:fill="F2F4F8"/>
          </w:tcPr>
          <w:p>
            <w:r/>
            <w:r>
              <w:rPr>
                <w:sz w:val="16"/>
              </w:rPr>
              <w:t>Yes — aliases are purely additive — both old and new keys resolve to the same grant, so no tenant loses or gains access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Reversible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Yes — removing the alias map entries reverts to the prior independent behaviour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Data migration</w:t>
            </w:r>
          </w:p>
        </w:tc>
        <w:tc>
          <w:tcPr>
            <w:tcW w:type="dxa" w:w="7776"/>
            <w:shd w:val="clear" w:color="auto" w:fill="F2F4F8"/>
          </w:tcPr>
          <w:p>
            <w:r/>
            <w:r>
              <w:rPr>
                <w:sz w:val="16"/>
              </w:rPr>
              <w:t>No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Status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☐ Not Started (Ready)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Owner</w:t>
            </w:r>
          </w:p>
        </w:tc>
        <w:tc>
          <w:tcPr>
            <w:tcW w:type="dxa" w:w="7776"/>
            <w:shd w:val="clear" w:color="auto" w:fill="F2F4F8"/>
          </w:tcPr>
          <w:p>
            <w:r/>
            <w:r>
              <w:rPr>
                <w:sz w:val="16"/>
              </w:rPr>
              <w:t>(assign)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Target phase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A — Governance Hygiene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What &amp; why</w:t>
      </w:r>
    </w:p>
    <w:p>
      <w:r>
        <w:rPr>
          <w:b w:val="0"/>
          <w:i w:val="0"/>
          <w:color w:val="1A1A1A"/>
          <w:sz w:val="20"/>
        </w:rPr>
        <w:t>Three duplicate families exist: stock.* vs inventory.*, customer.* vs customers.*, report.aggregate.view vs reports.view. Phase A introduces ALIASES only: the resolver treats the legacy key and the canonical key as equivalent. No key is deleted, no role is re-seeded. This removes the overlap at the resolution layer while every existing grant keeps working.</w:t>
      </w:r>
    </w:p>
    <w:p>
      <w:pPr>
        <w:pStyle w:val="Heading2"/>
      </w:pPr>
      <w:r>
        <w:rPr>
          <w:b/>
          <w:color w:val="1B4F9E"/>
          <w:sz w:val="22"/>
        </w:rPr>
        <w:t>Implementation sub-tasks (tick as completed)</w:t>
      </w:r>
    </w:p>
    <w:p>
      <w:r>
        <w:rPr>
          <w:color w:val="1A1A1A"/>
          <w:sz w:val="19"/>
        </w:rPr>
        <w:t>☐  Define the canonical key for each family (inventory.*, customers.*, reports.view).</w:t>
      </w:r>
    </w:p>
    <w:p>
      <w:r>
        <w:rPr>
          <w:color w:val="1A1A1A"/>
          <w:sz w:val="19"/>
        </w:rPr>
        <w:t>☐  Add an alias map: legacy key -&gt; canonical key (resolver checks both).</w:t>
      </w:r>
    </w:p>
    <w:p>
      <w:r>
        <w:rPr>
          <w:color w:val="1A1A1A"/>
          <w:sz w:val="19"/>
        </w:rPr>
        <w:t>☐  Ensure hasPermission(canonical) is satisfied by a legacy grant and vice-versa.</w:t>
      </w:r>
    </w:p>
    <w:p>
      <w:r>
        <w:rPr>
          <w:color w:val="1A1A1A"/>
          <w:sz w:val="19"/>
        </w:rPr>
        <w:t>☐  Add tests proving old-key holders and new-key holders get identical access.</w:t>
      </w:r>
    </w:p>
    <w:p>
      <w:r>
        <w:rPr>
          <w:color w:val="1A1A1A"/>
          <w:sz w:val="19"/>
        </w:rPr>
        <w:t>☐  Document the canonical set; mark legacy keys 'aliased (deletion deferred to Phase C)'.</w:t>
      </w:r>
    </w:p>
    <w:p>
      <w:pPr>
        <w:pStyle w:val="Heading2"/>
      </w:pPr>
      <w:r>
        <w:rPr>
          <w:b/>
          <w:color w:val="1B4F9E"/>
          <w:sz w:val="22"/>
        </w:rPr>
        <w:t>Acceptance criteria</w:t>
      </w:r>
    </w:p>
    <w:p>
      <w:pPr>
        <w:pStyle w:val="ListBullet"/>
      </w:pPr>
      <w:r>
        <w:rPr>
          <w:b w:val="0"/>
          <w:color w:val="1A1A1A"/>
          <w:sz w:val="19"/>
        </w:rPr>
        <w:t>A role with only the legacy key still passes a canonical-key check (and vice-versa).</w:t>
      </w:r>
    </w:p>
    <w:p>
      <w:pPr>
        <w:pStyle w:val="ListBullet"/>
      </w:pPr>
      <w:r>
        <w:rPr>
          <w:b w:val="0"/>
          <w:color w:val="1A1A1A"/>
          <w:sz w:val="19"/>
        </w:rPr>
        <w:t>No seed data changed; no permission removed.</w:t>
      </w:r>
    </w:p>
    <w:p>
      <w:pPr>
        <w:pStyle w:val="ListBullet"/>
      </w:pPr>
      <w:r>
        <w:rPr>
          <w:b w:val="0"/>
          <w:color w:val="1A1A1A"/>
          <w:sz w:val="19"/>
        </w:rPr>
        <w:t>Alias map is the single source of equivalence.</w:t>
      </w:r>
    </w:p>
    <w:p>
      <w:pPr>
        <w:pStyle w:val="Heading2"/>
      </w:pPr>
      <w:r>
        <w:rPr>
          <w:b/>
          <w:color w:val="1B4F9E"/>
          <w:sz w:val="22"/>
        </w:rPr>
        <w:t>Verification</w:t>
      </w:r>
    </w:p>
    <w:p>
      <w:pPr>
        <w:pStyle w:val="ListBullet"/>
      </w:pPr>
      <w:r>
        <w:rPr>
          <w:b w:val="0"/>
          <w:color w:val="1B4F9E"/>
          <w:sz w:val="19"/>
        </w:rPr>
        <w:t>Unit test: grant legacy key -&gt; assert canonical check passes.</w:t>
      </w:r>
    </w:p>
    <w:p>
      <w:pPr>
        <w:pStyle w:val="ListBullet"/>
      </w:pPr>
      <w:r>
        <w:rPr>
          <w:b w:val="0"/>
          <w:color w:val="1B4F9E"/>
          <w:sz w:val="19"/>
        </w:rPr>
        <w:t>Unit test: grant canonical key -&gt; assert legacy check passes.</w:t>
      </w:r>
    </w:p>
    <w:p>
      <w:pPr>
        <w:pStyle w:val="ListBullet"/>
      </w:pPr>
      <w:r>
        <w:rPr>
          <w:b w:val="0"/>
          <w:color w:val="1B4F9E"/>
          <w:sz w:val="19"/>
        </w:rPr>
        <w:t>Regression: existing role-permission tests stay green.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A3 — Bind nav + page to the same capability flag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7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Type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Bug fix (freeze-allowed)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Zero-impact</w:t>
            </w:r>
          </w:p>
        </w:tc>
        <w:tc>
          <w:tcPr>
            <w:tcW w:type="dxa" w:w="7776"/>
            <w:shd w:val="clear" w:color="auto" w:fill="F2F4F8"/>
          </w:tcPr>
          <w:p>
            <w:r/>
            <w:r>
              <w:rPr>
                <w:sz w:val="16"/>
              </w:rPr>
              <w:t>Yes — it only ever HIDES a link that would have 404'd — it never exposes anything new, so no tenant gains access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Reversible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Yes — reverting restores the prior (buggy) independent gating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Data migration</w:t>
            </w:r>
          </w:p>
        </w:tc>
        <w:tc>
          <w:tcPr>
            <w:tcW w:type="dxa" w:w="7776"/>
            <w:shd w:val="clear" w:color="auto" w:fill="F2F4F8"/>
          </w:tcPr>
          <w:p>
            <w:r/>
            <w:r>
              <w:rPr>
                <w:sz w:val="16"/>
              </w:rPr>
              <w:t>No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Status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☐ Not Started (Ready)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Owner</w:t>
            </w:r>
          </w:p>
        </w:tc>
        <w:tc>
          <w:tcPr>
            <w:tcW w:type="dxa" w:w="7776"/>
            <w:shd w:val="clear" w:color="auto" w:fill="F2F4F8"/>
          </w:tcPr>
          <w:p>
            <w:r/>
            <w:r>
              <w:rPr>
                <w:sz w:val="16"/>
              </w:rPr>
              <w:t>(assign)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Target phase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A — Governance Hygiene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What &amp; why</w:t>
      </w:r>
    </w:p>
    <w:p>
      <w:r>
        <w:rPr>
          <w:b w:val="0"/>
          <w:i w:val="0"/>
          <w:color w:val="1A1A1A"/>
          <w:sz w:val="20"/>
        </w:rPr>
        <w:t>Today some screens appear in navigation but the page itself is gated by a different (env) flag, producing show-then-404 — exactly the Trade Spend case (nav shows /distribution/trade-spend, page returns notFound() when KAKO_TRADE_SPEND is off). Phase A binds the nav item and the page to the SAME capability signal so a link is shown only when the page works.</w:t>
      </w:r>
    </w:p>
    <w:p>
      <w:pPr>
        <w:pStyle w:val="Heading2"/>
      </w:pPr>
      <w:r>
        <w:rPr>
          <w:b/>
          <w:color w:val="1B4F9E"/>
          <w:sz w:val="22"/>
        </w:rPr>
        <w:t>Implementation sub-tasks (tick as completed)</w:t>
      </w:r>
    </w:p>
    <w:p>
      <w:r>
        <w:rPr>
          <w:color w:val="1A1A1A"/>
          <w:sz w:val="19"/>
        </w:rPr>
        <w:t>☐  Inventory every nav item whose page has an independent flag/notFound() gate.</w:t>
      </w:r>
    </w:p>
    <w:p>
      <w:r>
        <w:rPr>
          <w:color w:val="1A1A1A"/>
          <w:sz w:val="19"/>
        </w:rPr>
        <w:t>☐  For each, source the nav visibility from the same flag the page checks.</w:t>
      </w:r>
    </w:p>
    <w:p>
      <w:r>
        <w:rPr>
          <w:color w:val="1A1A1A"/>
          <w:sz w:val="19"/>
        </w:rPr>
        <w:t>☐  Verify the result: link shown =&gt; page renders; flag off =&gt; link hidden (never a 404).</w:t>
      </w:r>
    </w:p>
    <w:p>
      <w:r>
        <w:rPr>
          <w:color w:val="1A1A1A"/>
          <w:sz w:val="19"/>
        </w:rPr>
        <w:t>☐  Add a test asserting nav-gate and page-gate agree for the engine routes.</w:t>
      </w:r>
    </w:p>
    <w:p>
      <w:r>
        <w:rPr>
          <w:color w:val="1A1A1A"/>
          <w:sz w:val="19"/>
        </w:rPr>
        <w:t>☐  Re-validate the Trade Spend route specifically.</w:t>
      </w:r>
    </w:p>
    <w:p>
      <w:pPr>
        <w:pStyle w:val="Heading2"/>
      </w:pPr>
      <w:r>
        <w:rPr>
          <w:b/>
          <w:color w:val="1B4F9E"/>
          <w:sz w:val="22"/>
        </w:rPr>
        <w:t>Acceptance criteria</w:t>
      </w:r>
    </w:p>
    <w:p>
      <w:pPr>
        <w:pStyle w:val="ListBullet"/>
      </w:pPr>
      <w:r>
        <w:rPr>
          <w:b w:val="0"/>
          <w:color w:val="1A1A1A"/>
          <w:sz w:val="19"/>
        </w:rPr>
        <w:t>No nav link leads to a notFound() page for any flag state.</w:t>
      </w:r>
    </w:p>
    <w:p>
      <w:pPr>
        <w:pStyle w:val="ListBullet"/>
      </w:pPr>
      <w:r>
        <w:rPr>
          <w:b w:val="0"/>
          <w:color w:val="1A1A1A"/>
          <w:sz w:val="19"/>
        </w:rPr>
        <w:t>Trade Spend link hidden when its flag is off, shown+working when on.</w:t>
      </w:r>
    </w:p>
    <w:p>
      <w:pPr>
        <w:pStyle w:val="ListBullet"/>
      </w:pPr>
      <w:r>
        <w:rPr>
          <w:b w:val="0"/>
          <w:color w:val="1A1A1A"/>
          <w:sz w:val="19"/>
        </w:rPr>
        <w:t>Behaviour strictly improves (no new exposure).</w:t>
      </w:r>
    </w:p>
    <w:p>
      <w:pPr>
        <w:pStyle w:val="Heading2"/>
      </w:pPr>
      <w:r>
        <w:rPr>
          <w:b/>
          <w:color w:val="1B4F9E"/>
          <w:sz w:val="22"/>
        </w:rPr>
        <w:t>Verification</w:t>
      </w:r>
    </w:p>
    <w:p>
      <w:pPr>
        <w:pStyle w:val="ListBullet"/>
      </w:pPr>
      <w:r>
        <w:rPr>
          <w:b w:val="0"/>
          <w:color w:val="1B4F9E"/>
          <w:sz w:val="19"/>
        </w:rPr>
        <w:t>Toggle each engine flag off/on and confirm link visibility matches page availability.</w:t>
      </w:r>
    </w:p>
    <w:p>
      <w:pPr>
        <w:pStyle w:val="ListBullet"/>
      </w:pPr>
      <w:r>
        <w:rPr>
          <w:b w:val="0"/>
          <w:color w:val="1B4F9E"/>
          <w:sz w:val="19"/>
        </w:rPr>
        <w:t>Automated test: for each gated route, nav-visible iff page-renders.</w:t>
      </w:r>
    </w:p>
    <w:p>
      <w:pPr>
        <w:pStyle w:val="ListBullet"/>
      </w:pPr>
      <w:r>
        <w:rPr>
          <w:b w:val="0"/>
          <w:color w:val="1B4F9E"/>
          <w:sz w:val="19"/>
        </w:rPr>
        <w:t>Manual: reproduce the prior Trade Spend 404 and confirm it is gone.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A4 — Document the 5 archetypes; curate onboarding picker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7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Type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Docs / onboarding copy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Zero-impact</w:t>
            </w:r>
          </w:p>
        </w:tc>
        <w:tc>
          <w:tcPr>
            <w:tcW w:type="dxa" w:w="7776"/>
            <w:shd w:val="clear" w:color="auto" w:fill="F2F4F8"/>
          </w:tcPr>
          <w:p>
            <w:r/>
            <w:r>
              <w:rPr>
                <w:sz w:val="16"/>
              </w:rPr>
              <w:t>Yes — no tenant record changes; only new-tenant onboarding copy and documentation are touched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Reversible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Yes — revert the picker copy; documentation has no runtime effect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Data migration</w:t>
            </w:r>
          </w:p>
        </w:tc>
        <w:tc>
          <w:tcPr>
            <w:tcW w:type="dxa" w:w="7776"/>
            <w:shd w:val="clear" w:color="auto" w:fill="F2F4F8"/>
          </w:tcPr>
          <w:p>
            <w:r/>
            <w:r>
              <w:rPr>
                <w:sz w:val="16"/>
              </w:rPr>
              <w:t>No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Status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☐ Not Started (Ready)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Owner</w:t>
            </w:r>
          </w:p>
        </w:tc>
        <w:tc>
          <w:tcPr>
            <w:tcW w:type="dxa" w:w="7776"/>
            <w:shd w:val="clear" w:color="auto" w:fill="F2F4F8"/>
          </w:tcPr>
          <w:p>
            <w:r/>
            <w:r>
              <w:rPr>
                <w:sz w:val="16"/>
              </w:rPr>
              <w:t>(assign)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Target phase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A — Governance Hygiene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What &amp; why</w:t>
      </w:r>
    </w:p>
    <w:p>
      <w:r>
        <w:rPr>
          <w:b w:val="0"/>
          <w:i w:val="0"/>
          <w:color w:val="1A1A1A"/>
          <w:sz w:val="20"/>
        </w:rPr>
        <w:t>Existing tenants keep their exact business_type. Phase A only (a) writes the 5-archetype model into the governance baseline and (b) curates the NEW-tenant onboarding picker so new sign-ups are guided to the archetype set. No existing business_type is renamed, remapped, or removed.</w:t>
      </w:r>
    </w:p>
    <w:p>
      <w:pPr>
        <w:pStyle w:val="Heading2"/>
      </w:pPr>
      <w:r>
        <w:rPr>
          <w:b/>
          <w:color w:val="1B4F9E"/>
          <w:sz w:val="22"/>
        </w:rPr>
        <w:t>Implementation sub-tasks (tick as completed)</w:t>
      </w:r>
    </w:p>
    <w:p>
      <w:r>
        <w:rPr>
          <w:color w:val="1A1A1A"/>
          <w:sz w:val="19"/>
        </w:rPr>
        <w:t>☐  Finalise the 5-archetype definitions (Distribution, Stock-Retail, Service-Vertical, Self-contained-Vertical, Generic).</w:t>
      </w:r>
    </w:p>
    <w:p>
      <w:r>
        <w:rPr>
          <w:color w:val="1A1A1A"/>
          <w:sz w:val="19"/>
        </w:rPr>
        <w:t>☐  Map each existing business_type to its archetype (documentation table only — no data change).</w:t>
      </w:r>
    </w:p>
    <w:p>
      <w:r>
        <w:rPr>
          <w:color w:val="1A1A1A"/>
          <w:sz w:val="19"/>
        </w:rPr>
        <w:t>☐  Curate the onboarding picker options/labels for NEW tenants (presentation only).</w:t>
      </w:r>
    </w:p>
    <w:p>
      <w:r>
        <w:rPr>
          <w:color w:val="1A1A1A"/>
          <w:sz w:val="19"/>
        </w:rPr>
        <w:t>☐  Leave all existing tenants' business_type values untouched.</w:t>
      </w:r>
    </w:p>
    <w:p>
      <w:r>
        <w:rPr>
          <w:color w:val="1A1A1A"/>
          <w:sz w:val="19"/>
        </w:rPr>
        <w:t>☐  Record that type-&gt;archetype MIGRATION is Phase C, explicitly out of scope here.</w:t>
      </w:r>
    </w:p>
    <w:p>
      <w:pPr>
        <w:pStyle w:val="Heading2"/>
      </w:pPr>
      <w:r>
        <w:rPr>
          <w:b/>
          <w:color w:val="1B4F9E"/>
          <w:sz w:val="22"/>
        </w:rPr>
        <w:t>Acceptance criteria</w:t>
      </w:r>
    </w:p>
    <w:p>
      <w:pPr>
        <w:pStyle w:val="ListBullet"/>
      </w:pPr>
      <w:r>
        <w:rPr>
          <w:b w:val="0"/>
          <w:color w:val="1A1A1A"/>
          <w:sz w:val="19"/>
        </w:rPr>
        <w:t>Existing tenants' business_type unchanged in the database.</w:t>
      </w:r>
    </w:p>
    <w:p>
      <w:pPr>
        <w:pStyle w:val="ListBullet"/>
      </w:pPr>
      <w:r>
        <w:rPr>
          <w:b w:val="0"/>
          <w:color w:val="1A1A1A"/>
          <w:sz w:val="19"/>
        </w:rPr>
        <w:t>New-tenant picker presents the archetype-guided set.</w:t>
      </w:r>
    </w:p>
    <w:p>
      <w:pPr>
        <w:pStyle w:val="ListBullet"/>
      </w:pPr>
      <w:r>
        <w:rPr>
          <w:b w:val="0"/>
          <w:color w:val="1A1A1A"/>
          <w:sz w:val="19"/>
        </w:rPr>
        <w:t>Archetype map documented in the governance baseline.</w:t>
      </w:r>
    </w:p>
    <w:p>
      <w:pPr>
        <w:pStyle w:val="Heading2"/>
      </w:pPr>
      <w:r>
        <w:rPr>
          <w:b/>
          <w:color w:val="1B4F9E"/>
          <w:sz w:val="22"/>
        </w:rPr>
        <w:t>Verification</w:t>
      </w:r>
    </w:p>
    <w:p>
      <w:pPr>
        <w:pStyle w:val="ListBullet"/>
      </w:pPr>
      <w:r>
        <w:rPr>
          <w:b w:val="0"/>
          <w:color w:val="1B4F9E"/>
          <w:sz w:val="19"/>
        </w:rPr>
        <w:t>DB check: business_type distribution identical before/after.</w:t>
      </w:r>
    </w:p>
    <w:p>
      <w:pPr>
        <w:pStyle w:val="ListBullet"/>
      </w:pPr>
      <w:r>
        <w:rPr>
          <w:b w:val="0"/>
          <w:color w:val="1B4F9E"/>
          <w:sz w:val="19"/>
        </w:rPr>
        <w:t>Onboarding walkthrough shows curated options for a new tenant only.</w:t>
      </w:r>
    </w:p>
    <w:p>
      <w:pPr>
        <w:pStyle w:val="ListBullet"/>
      </w:pPr>
      <w:r>
        <w:rPr>
          <w:b w:val="0"/>
          <w:color w:val="1B4F9E"/>
          <w:sz w:val="19"/>
        </w:rPr>
        <w:t>No migration script exists or runs.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A5 — Split feature-flag kinds in registry/docs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7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Type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Docs / registry classification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Zero-impact</w:t>
            </w:r>
          </w:p>
        </w:tc>
        <w:tc>
          <w:tcPr>
            <w:tcW w:type="dxa" w:w="7776"/>
            <w:shd w:val="clear" w:color="auto" w:fill="F2F4F8"/>
          </w:tcPr>
          <w:p>
            <w:r/>
            <w:r>
              <w:rPr>
                <w:sz w:val="16"/>
              </w:rPr>
              <w:t>Yes — it is classification and documentation only; no flag value or evaluation path changes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Reversible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Yes — documentation/classification is inherently reversible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Data migration</w:t>
            </w:r>
          </w:p>
        </w:tc>
        <w:tc>
          <w:tcPr>
            <w:tcW w:type="dxa" w:w="7776"/>
            <w:shd w:val="clear" w:color="auto" w:fill="F2F4F8"/>
          </w:tcPr>
          <w:p>
            <w:r/>
            <w:r>
              <w:rPr>
                <w:sz w:val="16"/>
              </w:rPr>
              <w:t>No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Status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☐ Not Started (Ready)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Owner</w:t>
            </w:r>
          </w:p>
        </w:tc>
        <w:tc>
          <w:tcPr>
            <w:tcW w:type="dxa" w:w="7776"/>
            <w:shd w:val="clear" w:color="auto" w:fill="F2F4F8"/>
          </w:tcPr>
          <w:p>
            <w:r/>
            <w:r>
              <w:rPr>
                <w:sz w:val="16"/>
              </w:rPr>
              <w:t>(assign)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Target phase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A — Governance Hygiene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What &amp; why</w:t>
      </w:r>
    </w:p>
    <w:p>
      <w:r>
        <w:rPr>
          <w:b w:val="0"/>
          <w:i w:val="0"/>
          <w:color w:val="1A1A1A"/>
          <w:sz w:val="20"/>
        </w:rPr>
        <w:t>Two different kinds of flags are currently mixed: tenant CAPABILITY flags (feature-catalog; Lite/Standard/Enterprise) and platform KILL-SWITCHES (env KAKO_*). Phase A classifies and documents them as two distinct kinds so future work never re-creates the show-then-404 confusion. Pure classification — no runtime behaviour changes.</w:t>
      </w:r>
    </w:p>
    <w:p>
      <w:pPr>
        <w:pStyle w:val="Heading2"/>
      </w:pPr>
      <w:r>
        <w:rPr>
          <w:b/>
          <w:color w:val="1B4F9E"/>
          <w:sz w:val="22"/>
        </w:rPr>
        <w:t>Implementation sub-tasks (tick as completed)</w:t>
      </w:r>
    </w:p>
    <w:p>
      <w:r>
        <w:rPr>
          <w:color w:val="1A1A1A"/>
          <w:sz w:val="19"/>
        </w:rPr>
        <w:t>☐  List every flag and label it Capability or Kill-switch.</w:t>
      </w:r>
    </w:p>
    <w:p>
      <w:r>
        <w:rPr>
          <w:color w:val="1A1A1A"/>
          <w:sz w:val="19"/>
        </w:rPr>
        <w:t>☐  Document the rule: tenant-visible gating uses Capability flags; unfinished-engine gating uses Kill-switches.</w:t>
      </w:r>
    </w:p>
    <w:p>
      <w:r>
        <w:rPr>
          <w:color w:val="1A1A1A"/>
          <w:sz w:val="19"/>
        </w:rPr>
        <w:t>☐  Cross-reference A3: nav+page bind to the Capability flag, kill-switch only force-disables.</w:t>
      </w:r>
    </w:p>
    <w:p>
      <w:r>
        <w:rPr>
          <w:color w:val="1A1A1A"/>
          <w:sz w:val="19"/>
        </w:rPr>
        <w:t>☐  Add the classification to the governance baseline and the feature-catalog docs.</w:t>
      </w:r>
    </w:p>
    <w:p>
      <w:r>
        <w:rPr>
          <w:color w:val="1A1A1A"/>
          <w:sz w:val="19"/>
        </w:rPr>
        <w:t>☐  No change to flag values or evaluation logic.</w:t>
      </w:r>
    </w:p>
    <w:p>
      <w:pPr>
        <w:pStyle w:val="Heading2"/>
      </w:pPr>
      <w:r>
        <w:rPr>
          <w:b/>
          <w:color w:val="1B4F9E"/>
          <w:sz w:val="22"/>
        </w:rPr>
        <w:t>Acceptance criteria</w:t>
      </w:r>
    </w:p>
    <w:p>
      <w:pPr>
        <w:pStyle w:val="ListBullet"/>
      </w:pPr>
      <w:r>
        <w:rPr>
          <w:b w:val="0"/>
          <w:color w:val="1A1A1A"/>
          <w:sz w:val="19"/>
        </w:rPr>
        <w:t>Every flag has a documented kind.</w:t>
      </w:r>
    </w:p>
    <w:p>
      <w:pPr>
        <w:pStyle w:val="ListBullet"/>
      </w:pPr>
      <w:r>
        <w:rPr>
          <w:b w:val="0"/>
          <w:color w:val="1A1A1A"/>
          <w:sz w:val="19"/>
        </w:rPr>
        <w:t>The capability-vs-kill-switch rule is written into the baseline.</w:t>
      </w:r>
    </w:p>
    <w:p>
      <w:pPr>
        <w:pStyle w:val="ListBullet"/>
      </w:pPr>
      <w:r>
        <w:rPr>
          <w:b w:val="0"/>
          <w:color w:val="1A1A1A"/>
          <w:sz w:val="19"/>
        </w:rPr>
        <w:t>No runtime flag behaviour altered.</w:t>
      </w:r>
    </w:p>
    <w:p>
      <w:pPr>
        <w:pStyle w:val="Heading2"/>
      </w:pPr>
      <w:r>
        <w:rPr>
          <w:b/>
          <w:color w:val="1B4F9E"/>
          <w:sz w:val="22"/>
        </w:rPr>
        <w:t>Verification</w:t>
      </w:r>
    </w:p>
    <w:p>
      <w:pPr>
        <w:pStyle w:val="ListBullet"/>
      </w:pPr>
      <w:r>
        <w:rPr>
          <w:b w:val="0"/>
          <w:color w:val="1B4F9E"/>
          <w:sz w:val="19"/>
        </w:rPr>
        <w:t>Doc review: each flag appears exactly once with a kind.</w:t>
      </w:r>
    </w:p>
    <w:p>
      <w:pPr>
        <w:pStyle w:val="ListBullet"/>
      </w:pPr>
      <w:r>
        <w:rPr>
          <w:b w:val="0"/>
          <w:color w:val="1B4F9E"/>
          <w:sz w:val="19"/>
        </w:rPr>
        <w:t>Confirm no code/flag-evaluation change in the diff (docs/registry-comment only).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Completion Log</w:t>
      </w:r>
    </w:p>
    <w:p>
      <w:r>
        <w:rPr>
          <w:b w:val="0"/>
          <w:i w:val="0"/>
          <w:color w:val="1A1A1A"/>
          <w:sz w:val="20"/>
        </w:rPr>
        <w:t>Update this log as items are executed. Each row records the evidence that the item shipped zero-impact.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2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00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PR / commit</w:t>
            </w:r>
          </w:p>
        </w:tc>
        <w:tc>
          <w:tcPr>
            <w:tcW w:type="dxa" w:w="345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Verification evidence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Confirmed zero-impact by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☐ Ready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720"/>
            <w:shd w:val="clear" w:color="auto" w:fill="F2F4F8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☐ Ready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☐ Ready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720"/>
            <w:shd w:val="clear" w:color="auto" w:fill="F2F4F8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☐ Ready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☐ Ready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Exit criteria for Phase A</w:t>
      </w:r>
    </w:p>
    <w:p>
      <w:pPr>
        <w:pStyle w:val="ListBullet"/>
      </w:pPr>
      <w:r>
        <w:rPr>
          <w:b w:val="0"/>
          <w:color w:val="1A1A1A"/>
          <w:sz w:val="19"/>
        </w:rPr>
        <w:t>All 5 items ☑ Done with verification evidence logged.</w:t>
      </w:r>
    </w:p>
    <w:p>
      <w:pPr>
        <w:pStyle w:val="ListBullet"/>
      </w:pPr>
      <w:r>
        <w:rPr>
          <w:b w:val="0"/>
          <w:color w:val="1A1A1A"/>
          <w:sz w:val="19"/>
        </w:rPr>
        <w:t>Pilot tenants report no behavioural change attributable to Phase A.</w:t>
      </w:r>
    </w:p>
    <w:p>
      <w:pPr>
        <w:pStyle w:val="ListBullet"/>
      </w:pPr>
      <w:r>
        <w:rPr>
          <w:b w:val="0"/>
          <w:color w:val="1A1A1A"/>
          <w:sz w:val="19"/>
        </w:rPr>
        <w:t>Governance baseline updated to reflect aliases + retired dead keys + flag-kind split.</w:t>
      </w:r>
    </w:p>
    <w:p>
      <w:pPr>
        <w:pStyle w:val="ListBullet"/>
      </w:pPr>
      <w:r>
        <w:rPr>
          <w:b w:val="0"/>
          <w:color w:val="1A1A1A"/>
          <w:sz w:val="19"/>
        </w:rPr>
        <w:t>No business type merged, no role retired, no permission deleted, no tenant migrated (those remain Phase B/C/D).</w:t>
      </w:r>
    </w:p>
    <w:p>
      <w:r>
        <w:rPr>
          <w:b w:val="0"/>
          <w:i w:val="0"/>
          <w:color w:val="1A1A1A"/>
          <w:sz w:val="20"/>
        </w:rPr>
      </w:r>
    </w:p>
    <w:p>
      <w:r>
        <w:rPr>
          <w:b/>
          <w:i w:val="0"/>
          <w:color w:val="1F2A44"/>
          <w:sz w:val="20"/>
        </w:rPr>
        <w:t>Phase A is complete when these five hygiene items are shipped and verified zero-impact. At that point the platform is cleaner but functionally identical — ready to focus fully on pilot validation, the first paying customer, and usage data before any structural simplification is revisited.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