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C2263B"/>
          <w:sz w:val="22"/>
        </w:rPr>
        <w:t>Roshen KSA Sales Dashboard</w:t>
      </w:r>
    </w:p>
    <w:p>
      <w:pPr>
        <w:spacing w:after="80"/>
      </w:pPr>
      <w:r>
        <w:rPr>
          <w:b/>
          <w:i w:val="0"/>
          <w:color w:val="1A2942"/>
          <w:sz w:val="42"/>
        </w:rPr>
        <w:t>Trade Spend Native Module — Implementation &amp; Validation Report</w:t>
      </w:r>
    </w:p>
    <w:p>
      <w:pPr>
        <w:spacing w:after="40"/>
      </w:pPr>
      <w:r>
        <w:rPr>
          <w:b w:val="0"/>
          <w:i w:val="0"/>
          <w:color w:val="5A6B82"/>
          <w:sz w:val="20"/>
        </w:rPr>
        <w:t>Branch claude/trade-spend-native-module · PR #447 · 17 July 2026</w:t>
      </w:r>
    </w:p>
    <w:p>
      <w:pPr>
        <w:spacing w:after="200"/>
      </w:pPr>
      <w:r>
        <w:rPr>
          <w:b/>
          <w:i w:val="0"/>
          <w:color w:val="B46A00"/>
        </w:rPr>
        <w:t>STATUS: feature-complete on the feature branch. NOT deployed. All DB migrations authored but NOT applied. public/trade_spend.html is byte-for-byte untouched (parallel run preserved). Awaiting your approval.</w:t>
      </w:r>
    </w:p>
    <w:p>
      <w:pPr>
        <w:pStyle w:val="Heading1"/>
      </w:pPr>
      <w:r>
        <w:t>1.  What was built</w:t>
      </w:r>
    </w:p>
    <w:p>
      <w:r>
        <w:rPr>
          <w:b w:val="0"/>
          <w:i w:val="0"/>
        </w:rPr>
        <w:t>Trade Spend is now a native mode of the Sales Dashboard — a 'Trade Spend' section in the enterprise sidebar (Activity Log / New Activity / Analysis), a mode-rail button, KPI cards, a sortable activity table with inline role-gated approval actions, a full create/edit form with live uplift/ROI preview, an activity detail modal with the approval timeline and photos, four theme-aware analysis charts, and Excel/PDF export. It inherits the Dashboard shell, tokens, dark/light themes, typography, dialogs and responsive behaviour — no Dashboard redesign.</w:t>
      </w:r>
    </w:p>
    <w:p>
      <w:pPr>
        <w:pStyle w:val="ListBullet"/>
        <w:spacing w:after="40"/>
      </w:pPr>
      <w:r>
        <w:t>Everything lives under a single namespace (window.TS). No Dashboard globals added or modified.</w:t>
      </w:r>
    </w:p>
    <w:p>
      <w:pPr>
        <w:pStyle w:val="ListBullet"/>
        <w:spacing w:after="40"/>
      </w:pPr>
      <w:r>
        <w:t>Sales attribution reads the Dashboard's loaded dataset (sales_fact-derived) — the Excel upload, embedded blob and IndexedDB cache are gone from the module (legacy app keeps its own).</w:t>
      </w:r>
    </w:p>
    <w:p>
      <w:pPr>
        <w:pStyle w:val="ListBullet"/>
        <w:spacing w:after="40"/>
      </w:pPr>
      <w:r>
        <w:t>Activities stay in the shared `activities` table via the Dashboard's authenticated cloud client; realtime + 15s polling + reconnect refresh; both apps see the same records live (parallel run).</w:t>
      </w:r>
    </w:p>
    <w:p>
      <w:pPr>
        <w:pStyle w:val="ListBullet"/>
        <w:spacing w:after="40"/>
      </w:pPr>
      <w:r>
        <w:t>Auth = Dashboard login + ts.* capabilities. Until migration 002 is applied, a legacy-parity grant table gives the SAME people the SAME rights as the legacy hardcoded emails (Ahmed → Roshen approval, Muhammad → Relia, Dmytro → Final read-only, owner → admin).</w:t>
      </w:r>
    </w:p>
    <w:p>
      <w:pPr>
        <w:pStyle w:val="Heading1"/>
      </w:pPr>
      <w:r>
        <w:t>2.  Files changed (deliverable 1)</w:t>
      </w:r>
    </w:p>
    <w:tbl>
      <w:tblPr>
        <w:tblStyle w:val="TableGrid"/>
        <w:tblW w:type="auto" w:w="0"/>
        <w:jc w:val="center"/>
        <w:tblLook w:firstColumn="1" w:firstRow="1" w:lastColumn="0" w:lastRow="0" w:noHBand="0" w:noVBand="1" w:val="04A0"/>
      </w:tblPr>
      <w:tblGrid>
        <w:gridCol w:w="4320"/>
        <w:gridCol w:w="4320"/>
      </w:tblGrid>
      <w:tr>
        <w:tc>
          <w:tcPr>
            <w:tcW w:type="dxa" w:w="3456"/>
            <w:shd w:val="clear" w:color="auto" w:fill="1A2942"/>
          </w:tcPr>
          <w:p>
            <w:pPr>
              <w:spacing w:after="20" w:before="20"/>
            </w:pPr>
            <w:r/>
            <w:r>
              <w:rPr>
                <w:b/>
                <w:color w:val="FFFFFF"/>
                <w:sz w:val="18"/>
              </w:rPr>
              <w:t>File</w:t>
            </w:r>
          </w:p>
        </w:tc>
        <w:tc>
          <w:tcPr>
            <w:tcW w:type="dxa" w:w="6048"/>
            <w:shd w:val="clear" w:color="auto" w:fill="1A2942"/>
          </w:tcPr>
          <w:p>
            <w:pPr>
              <w:spacing w:after="20" w:before="20"/>
            </w:pPr>
            <w:r/>
            <w:r>
              <w:rPr>
                <w:b/>
                <w:color w:val="FFFFFF"/>
                <w:sz w:val="18"/>
              </w:rPr>
              <w:t>Change</w:t>
            </w:r>
          </w:p>
        </w:tc>
      </w:tr>
      <w:tr>
        <w:tc>
          <w:tcPr>
            <w:tcW w:type="dxa" w:w="3456"/>
          </w:tcPr>
          <w:p>
            <w:pPr>
              <w:spacing w:after="20" w:before="20"/>
            </w:pPr>
            <w:r/>
            <w:r>
              <w:rPr>
                <w:b w:val="0"/>
                <w:sz w:val="18"/>
              </w:rPr>
              <w:t>public/roshen_dashboard.html</w:t>
            </w:r>
          </w:p>
        </w:tc>
        <w:tc>
          <w:tcPr>
            <w:tcW w:type="dxa" w:w="6048"/>
          </w:tcPr>
          <w:p>
            <w:pPr>
              <w:spacing w:after="20" w:before="20"/>
            </w:pPr>
            <w:r/>
            <w:r>
              <w:rPr>
                <w:b w:val="0"/>
                <w:sz w:val="18"/>
              </w:rPr>
              <w:t>MODIFIED — the only runtime file touched. +~88 KB: nav button, sidebar section, validModes + switchMode branch, #view-tradespend, scoped .ts-* CSS, window.TS module (74 KB). Analytics tab binding narrowed to .tab[data-tab] (no-op hardening).</w:t>
            </w:r>
          </w:p>
        </w:tc>
      </w:tr>
      <w:tr>
        <w:tc>
          <w:tcPr>
            <w:tcW w:type="dxa" w:w="3456"/>
            <w:shd w:val="clear" w:color="auto" w:fill="F1F4F8"/>
          </w:tcPr>
          <w:p>
            <w:pPr>
              <w:spacing w:after="20" w:before="20"/>
            </w:pPr>
            <w:r/>
            <w:r>
              <w:rPr>
                <w:b w:val="0"/>
                <w:sz w:val="18"/>
              </w:rPr>
              <w:t>public/trade_spend.html</w:t>
            </w:r>
          </w:p>
        </w:tc>
        <w:tc>
          <w:tcPr>
            <w:tcW w:type="dxa" w:w="6048"/>
            <w:shd w:val="clear" w:color="auto" w:fill="F1F4F8"/>
          </w:tcPr>
          <w:p>
            <w:pPr>
              <w:spacing w:after="20" w:before="20"/>
            </w:pPr>
            <w:r/>
            <w:r>
              <w:rPr>
                <w:b w:val="0"/>
                <w:sz w:val="18"/>
              </w:rPr>
              <w:t>UNTOUCHED (verified byte-for-byte at every commit)</w:t>
            </w:r>
          </w:p>
        </w:tc>
      </w:tr>
      <w:tr>
        <w:tc>
          <w:tcPr>
            <w:tcW w:type="dxa" w:w="3456"/>
          </w:tcPr>
          <w:p>
            <w:pPr>
              <w:spacing w:after="20" w:before="20"/>
            </w:pPr>
            <w:r/>
            <w:r>
              <w:rPr>
                <w:b w:val="0"/>
                <w:sz w:val="18"/>
              </w:rPr>
              <w:t>trade-spend-module/src/ts_module.js</w:t>
            </w:r>
          </w:p>
        </w:tc>
        <w:tc>
          <w:tcPr>
            <w:tcW w:type="dxa" w:w="6048"/>
          </w:tcPr>
          <w:p>
            <w:pPr>
              <w:spacing w:after="20" w:before="20"/>
            </w:pPr>
            <w:r/>
            <w:r>
              <w:rPr>
                <w:b w:val="0"/>
                <w:sz w:val="18"/>
              </w:rPr>
              <w:t>NEW — module source of truth (1,426 lines), injected into the Dashboard</w:t>
            </w:r>
          </w:p>
        </w:tc>
      </w:tr>
      <w:tr>
        <w:tc>
          <w:tcPr>
            <w:tcW w:type="dxa" w:w="3456"/>
            <w:shd w:val="clear" w:color="auto" w:fill="F1F4F8"/>
          </w:tcPr>
          <w:p>
            <w:pPr>
              <w:spacing w:after="20" w:before="20"/>
            </w:pPr>
            <w:r/>
            <w:r>
              <w:rPr>
                <w:b w:val="0"/>
                <w:sz w:val="18"/>
              </w:rPr>
              <w:t>trade-spend-module/src/ts_module.test.mjs</w:t>
            </w:r>
          </w:p>
        </w:tc>
        <w:tc>
          <w:tcPr>
            <w:tcW w:type="dxa" w:w="6048"/>
            <w:shd w:val="clear" w:color="auto" w:fill="F1F4F8"/>
          </w:tcPr>
          <w:p>
            <w:pPr>
              <w:spacing w:after="20" w:before="20"/>
            </w:pPr>
            <w:r/>
            <w:r>
              <w:rPr>
                <w:b w:val="0"/>
                <w:sz w:val="18"/>
              </w:rPr>
              <w:t>NEW — 37 mechanical parity tests (Node)</w:t>
            </w:r>
          </w:p>
        </w:tc>
      </w:tr>
      <w:tr>
        <w:tc>
          <w:tcPr>
            <w:tcW w:type="dxa" w:w="3456"/>
          </w:tcPr>
          <w:p>
            <w:pPr>
              <w:spacing w:after="20" w:before="20"/>
            </w:pPr>
            <w:r/>
            <w:r>
              <w:rPr>
                <w:b w:val="0"/>
                <w:sz w:val="18"/>
              </w:rPr>
              <w:t>trade-spend-module/migrations/001–004.sql</w:t>
            </w:r>
          </w:p>
        </w:tc>
        <w:tc>
          <w:tcPr>
            <w:tcW w:type="dxa" w:w="6048"/>
          </w:tcPr>
          <w:p>
            <w:pPr>
              <w:spacing w:after="20" w:before="20"/>
            </w:pPr>
            <w:r/>
            <w:r>
              <w:rPr>
                <w:b w:val="0"/>
                <w:sz w:val="18"/>
              </w:rPr>
              <w:t>NEW — authored, NOT applied</w:t>
            </w:r>
          </w:p>
        </w:tc>
      </w:tr>
      <w:tr>
        <w:tc>
          <w:tcPr>
            <w:tcW w:type="dxa" w:w="3456"/>
            <w:shd w:val="clear" w:color="auto" w:fill="F1F4F8"/>
          </w:tcPr>
          <w:p>
            <w:pPr>
              <w:spacing w:after="20" w:before="20"/>
            </w:pPr>
            <w:r/>
            <w:r>
              <w:rPr>
                <w:b w:val="0"/>
                <w:sz w:val="18"/>
              </w:rPr>
              <w:t>trade-spend-module/reports/*</w:t>
            </w:r>
          </w:p>
        </w:tc>
        <w:tc>
          <w:tcPr>
            <w:tcW w:type="dxa" w:w="6048"/>
            <w:shd w:val="clear" w:color="auto" w:fill="F1F4F8"/>
          </w:tcPr>
          <w:p>
            <w:pPr>
              <w:spacing w:after="20" w:before="20"/>
            </w:pPr>
            <w:r/>
            <w:r>
              <w:rPr>
                <w:b w:val="0"/>
                <w:sz w:val="18"/>
              </w:rPr>
              <w:t>NEW — Conflict Report, mapping CSV, 9 screenshots</w:t>
            </w:r>
          </w:p>
        </w:tc>
      </w:tr>
      <w:tr>
        <w:tc>
          <w:tcPr>
            <w:tcW w:type="dxa" w:w="3456"/>
          </w:tcPr>
          <w:p>
            <w:pPr>
              <w:spacing w:after="20" w:before="20"/>
            </w:pPr>
            <w:r/>
            <w:r>
              <w:rPr>
                <w:b w:val="0"/>
                <w:sz w:val="18"/>
              </w:rPr>
              <w:t>trade-spend-module/README.md</w:t>
            </w:r>
          </w:p>
        </w:tc>
        <w:tc>
          <w:tcPr>
            <w:tcW w:type="dxa" w:w="6048"/>
          </w:tcPr>
          <w:p>
            <w:pPr>
              <w:spacing w:after="20" w:before="20"/>
            </w:pPr>
            <w:r/>
            <w:r>
              <w:rPr>
                <w:b w:val="0"/>
                <w:sz w:val="18"/>
              </w:rPr>
              <w:t>NEW — architecture &amp; parallel-run contract</w:t>
            </w:r>
          </w:p>
        </w:tc>
      </w:tr>
    </w:tbl>
    <w:p>
      <w:pPr>
        <w:spacing w:after="40"/>
      </w:pPr>
    </w:p>
    <w:p>
      <w:pPr>
        <w:pStyle w:val="Heading1"/>
      </w:pPr>
      <w:r>
        <w:t>3.  Database &amp; permission changes (deliverables 2–3)</w:t>
      </w:r>
    </w:p>
    <w:p>
      <w:r>
        <w:rPr>
          <w:b/>
          <w:i w:val="0"/>
          <w:color w:val="1B7F4B"/>
        </w:rPr>
        <w:t>Applied to the production database: NONE.</w:t>
      </w:r>
    </w:p>
    <w:p>
      <w:pPr>
        <w:spacing w:after="40"/>
      </w:pPr>
      <w:r>
        <w:rPr>
          <w:b w:val="0"/>
          <w:i w:val="0"/>
        </w:rPr>
        <w:t>Authored and waiting for your explicit approval:</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A2942"/>
          </w:tcPr>
          <w:p>
            <w:pPr>
              <w:spacing w:after="20" w:before="20"/>
            </w:pPr>
            <w:r/>
            <w:r>
              <w:rPr>
                <w:b/>
                <w:color w:val="FFFFFF"/>
                <w:sz w:val="18"/>
              </w:rPr>
              <w:t>Migration</w:t>
            </w:r>
          </w:p>
        </w:tc>
        <w:tc>
          <w:tcPr>
            <w:tcW w:type="dxa" w:w="4320"/>
            <w:shd w:val="clear" w:color="auto" w:fill="1A2942"/>
          </w:tcPr>
          <w:p>
            <w:pPr>
              <w:spacing w:after="20" w:before="20"/>
            </w:pPr>
            <w:r/>
            <w:r>
              <w:rPr>
                <w:b/>
                <w:color w:val="FFFFFF"/>
                <w:sz w:val="18"/>
              </w:rPr>
              <w:t>Purpose</w:t>
            </w:r>
          </w:p>
        </w:tc>
        <w:tc>
          <w:tcPr>
            <w:tcW w:type="dxa" w:w="2736"/>
            <w:shd w:val="clear" w:color="auto" w:fill="1A2942"/>
          </w:tcPr>
          <w:p>
            <w:pPr>
              <w:spacing w:after="20" w:before="20"/>
            </w:pPr>
            <w:r/>
            <w:r>
              <w:rPr>
                <w:b/>
                <w:color w:val="FFFFFF"/>
                <w:sz w:val="18"/>
              </w:rPr>
              <w:t>Risk when applied</w:t>
            </w:r>
          </w:p>
        </w:tc>
      </w:tr>
      <w:tr>
        <w:tc>
          <w:tcPr>
            <w:tcW w:type="dxa" w:w="2448"/>
          </w:tcPr>
          <w:p>
            <w:pPr>
              <w:spacing w:after="20" w:before="20"/>
            </w:pPr>
            <w:r/>
            <w:r>
              <w:rPr>
                <w:b w:val="0"/>
                <w:sz w:val="18"/>
              </w:rPr>
              <w:t>001 dash_sku_master taxonomy</w:t>
            </w:r>
          </w:p>
        </w:tc>
        <w:tc>
          <w:tcPr>
            <w:tcW w:type="dxa" w:w="4320"/>
          </w:tcPr>
          <w:p>
            <w:pPr>
              <w:spacing w:after="20" w:before="20"/>
            </w:pPr>
            <w:r/>
            <w:r>
              <w:rPr>
                <w:b w:val="0"/>
                <w:sz w:val="18"/>
              </w:rPr>
              <w:t>Adds nullable brand / category / sub_category / segment columns + index</w:t>
            </w:r>
          </w:p>
        </w:tc>
        <w:tc>
          <w:tcPr>
            <w:tcW w:type="dxa" w:w="2736"/>
          </w:tcPr>
          <w:p>
            <w:pPr>
              <w:spacing w:after="20" w:before="20"/>
            </w:pPr>
            <w:r/>
            <w:r>
              <w:rPr>
                <w:b w:val="0"/>
                <w:sz w:val="18"/>
              </w:rPr>
              <w:t>None — additive, invisible to running apps</w:t>
            </w:r>
          </w:p>
        </w:tc>
      </w:tr>
      <w:tr>
        <w:tc>
          <w:tcPr>
            <w:tcW w:type="dxa" w:w="2448"/>
            <w:shd w:val="clear" w:color="auto" w:fill="F1F4F8"/>
          </w:tcPr>
          <w:p>
            <w:pPr>
              <w:spacing w:after="20" w:before="20"/>
            </w:pPr>
            <w:r/>
            <w:r>
              <w:rPr>
                <w:b w:val="0"/>
                <w:sz w:val="18"/>
              </w:rPr>
              <w:t>002 ts.* permissions</w:t>
            </w:r>
          </w:p>
        </w:tc>
        <w:tc>
          <w:tcPr>
            <w:tcW w:type="dxa" w:w="4320"/>
            <w:shd w:val="clear" w:color="auto" w:fill="F1F4F8"/>
          </w:tcPr>
          <w:p>
            <w:pPr>
              <w:spacing w:after="20" w:before="20"/>
            </w:pPr>
            <w:r/>
            <w:r>
              <w:rPr>
                <w:b w:val="0"/>
                <w:sz w:val="18"/>
              </w:rPr>
              <w:t>9 ts.* keys in dash_permissions; role grants; per-person approval overrides (Ahmed/Muhammad/Dmytro)</w:t>
            </w:r>
          </w:p>
        </w:tc>
        <w:tc>
          <w:tcPr>
            <w:tcW w:type="dxa" w:w="2736"/>
            <w:shd w:val="clear" w:color="auto" w:fill="F1F4F8"/>
          </w:tcPr>
          <w:p>
            <w:pPr>
              <w:spacing w:after="20" w:before="20"/>
            </w:pPr>
            <w:r/>
            <w:r>
              <w:rPr>
                <w:b w:val="0"/>
                <w:sz w:val="18"/>
              </w:rPr>
              <w:t>Low — additive; module then prefers DB overrides over its built-in parity table</w:t>
            </w:r>
          </w:p>
        </w:tc>
      </w:tr>
      <w:tr>
        <w:tc>
          <w:tcPr>
            <w:tcW w:type="dxa" w:w="2448"/>
          </w:tcPr>
          <w:p>
            <w:pPr>
              <w:spacing w:after="20" w:before="20"/>
            </w:pPr>
            <w:r/>
            <w:r>
              <w:rPr>
                <w:b w:val="0"/>
                <w:sz w:val="18"/>
              </w:rPr>
              <w:t>003 category auto-populate</w:t>
            </w:r>
          </w:p>
        </w:tc>
        <w:tc>
          <w:tcPr>
            <w:tcW w:type="dxa" w:w="4320"/>
          </w:tcPr>
          <w:p>
            <w:pPr>
              <w:spacing w:after="20" w:before="20"/>
            </w:pPr>
            <w:r/>
            <w:r>
              <w:rPr>
                <w:b w:val="0"/>
                <w:sz w:val="18"/>
              </w:rPr>
              <w:t>6 unambiguous single-category items</w:t>
            </w:r>
          </w:p>
        </w:tc>
        <w:tc>
          <w:tcPr>
            <w:tcW w:type="dxa" w:w="2736"/>
          </w:tcPr>
          <w:p>
            <w:pPr>
              <w:spacing w:after="20" w:before="20"/>
            </w:pPr>
            <w:r/>
            <w:r>
              <w:rPr>
                <w:b w:val="0"/>
                <w:sz w:val="18"/>
              </w:rPr>
              <w:t>None — updates empty column only</w:t>
            </w:r>
          </w:p>
        </w:tc>
      </w:tr>
      <w:tr>
        <w:tc>
          <w:tcPr>
            <w:tcW w:type="dxa" w:w="2448"/>
            <w:shd w:val="clear" w:color="auto" w:fill="F1F4F8"/>
          </w:tcPr>
          <w:p>
            <w:pPr>
              <w:spacing w:after="20" w:before="20"/>
            </w:pPr>
            <w:r/>
            <w:r>
              <w:rPr>
                <w:b w:val="0"/>
                <w:sz w:val="18"/>
              </w:rPr>
              <w:t>004 conflict resolutions</w:t>
            </w:r>
          </w:p>
        </w:tc>
        <w:tc>
          <w:tcPr>
            <w:tcW w:type="dxa" w:w="4320"/>
            <w:shd w:val="clear" w:color="auto" w:fill="F1F4F8"/>
          </w:tcPr>
          <w:p>
            <w:pPr>
              <w:spacing w:after="20" w:before="20"/>
            </w:pPr>
            <w:r/>
            <w:r>
              <w:rPr>
                <w:b w:val="0"/>
                <w:sz w:val="18"/>
              </w:rPr>
              <w:t>14 multi-category items — TEMPLATE, needs your decisions (1 tie: Fudgenta)</w:t>
            </w:r>
          </w:p>
        </w:tc>
        <w:tc>
          <w:tcPr>
            <w:tcW w:type="dxa" w:w="2736"/>
            <w:shd w:val="clear" w:color="auto" w:fill="F1F4F8"/>
          </w:tcPr>
          <w:p>
            <w:pPr>
              <w:spacing w:after="20" w:before="20"/>
            </w:pPr>
            <w:r/>
            <w:r>
              <w:rPr>
                <w:b w:val="0"/>
                <w:sz w:val="18"/>
              </w:rPr>
              <w:t>Applied only after you approve each row</w:t>
            </w:r>
          </w:p>
        </w:tc>
      </w:tr>
    </w:tbl>
    <w:p>
      <w:pPr>
        <w:spacing w:after="40"/>
      </w:pPr>
    </w:p>
    <w:p>
      <w:pPr>
        <w:pStyle w:val="Heading1"/>
      </w:pPr>
      <w:r>
        <w:t>4.  Validation (deliverables 6–7)</w:t>
      </w:r>
    </w:p>
    <w:p>
      <w:r>
        <w:rPr>
          <w:b/>
          <w:i w:val="0"/>
        </w:rPr>
        <w:t>Mechanical parity — 37/37 tests pass (trade-spend-module/src/ts_module.test.mjs):</w:t>
      </w:r>
    </w:p>
    <w:p>
      <w:pPr>
        <w:pStyle w:val="ListBullet"/>
        <w:spacing w:after="40"/>
      </w:pPr>
      <w:r>
        <w:t>Overall-status matrix (approved/rejected/pending/in-progress incl. Fully Executed → Completed).</w:t>
      </w:r>
    </w:p>
    <w:p>
      <w:pPr>
        <w:pStyle w:val="ListBullet"/>
        <w:spacing w:after="40"/>
      </w:pPr>
      <w:r>
        <w:t>Period windows: 3-month default and 1/3/6/12-month rentals; pre-window ends the day before the activity; post-window day count.</w:t>
      </w:r>
    </w:p>
    <w:p>
      <w:pPr>
        <w:pStyle w:val="ListBullet"/>
        <w:spacing w:after="40"/>
      </w:pPr>
      <w:r>
        <w:t>Sales attribution: multi-entry account aggregation (name-variant fix), category filter, ⭐ALL, SKU narrowing, unknown accounts.</w:t>
      </w:r>
    </w:p>
    <w:p>
      <w:pPr>
        <w:pStyle w:val="ListBullet"/>
        <w:spacing w:after="40"/>
      </w:pPr>
      <w:r>
        <w:t>Uplift = (post−pre)/pre; ROI = (incremental−cost)/cost; verdict thresholds exactly ≥0.2 / ≥0 / &lt;0 (boundary tested).</w:t>
      </w:r>
    </w:p>
    <w:p>
      <w:pPr>
        <w:pStyle w:val="ListBullet"/>
        <w:spacing w:after="40"/>
      </w:pPr>
      <w:r>
        <w:t>activities row mapping round-trip (columns + data jsonb + photos jsonb) — identical to legacy shape.</w:t>
      </w:r>
    </w:p>
    <w:p>
      <w:pPr>
        <w:spacing w:after="80"/>
      </w:pPr>
      <w:r>
        <w:rPr>
          <w:b w:val="0"/>
          <w:i w:val="0"/>
        </w:rPr>
        <w:t>Shell regression — after entering the module and returning, Analytics still renders (8 KPI cards, overview tab active); verified in the screenshot run. All inline scripts pass node --check.</w:t>
      </w:r>
    </w:p>
    <w:p>
      <w:r>
        <w:rPr>
          <w:b/>
          <w:i w:val="0"/>
        </w:rPr>
        <w:t>Business-rule parity vs legacy:</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A2942"/>
          </w:tcPr>
          <w:p>
            <w:pPr>
              <w:spacing w:after="20" w:before="20"/>
            </w:pPr>
            <w:r/>
            <w:r>
              <w:rPr>
                <w:b/>
                <w:color w:val="FFFFFF"/>
                <w:sz w:val="18"/>
              </w:rPr>
              <w:t>Rule</w:t>
            </w:r>
          </w:p>
        </w:tc>
        <w:tc>
          <w:tcPr>
            <w:tcW w:type="dxa" w:w="3168"/>
            <w:shd w:val="clear" w:color="auto" w:fill="1A2942"/>
          </w:tcPr>
          <w:p>
            <w:pPr>
              <w:spacing w:after="20" w:before="20"/>
            </w:pPr>
            <w:r/>
            <w:r>
              <w:rPr>
                <w:b/>
                <w:color w:val="FFFFFF"/>
                <w:sz w:val="18"/>
              </w:rPr>
              <w:t>Legacy</w:t>
            </w:r>
          </w:p>
        </w:tc>
        <w:tc>
          <w:tcPr>
            <w:tcW w:type="dxa" w:w="3888"/>
            <w:shd w:val="clear" w:color="auto" w:fill="1A2942"/>
          </w:tcPr>
          <w:p>
            <w:pPr>
              <w:spacing w:after="20" w:before="20"/>
            </w:pPr>
            <w:r/>
            <w:r>
              <w:rPr>
                <w:b/>
                <w:color w:val="FFFFFF"/>
                <w:sz w:val="18"/>
              </w:rPr>
              <w:t>Native module</w:t>
            </w:r>
          </w:p>
        </w:tc>
      </w:tr>
      <w:tr>
        <w:tc>
          <w:tcPr>
            <w:tcW w:type="dxa" w:w="2448"/>
          </w:tcPr>
          <w:p>
            <w:pPr>
              <w:spacing w:after="20" w:before="20"/>
            </w:pPr>
            <w:r/>
            <w:r>
              <w:rPr>
                <w:b w:val="0"/>
                <w:sz w:val="18"/>
              </w:rPr>
              <w:t>Roshen approval</w:t>
            </w:r>
          </w:p>
        </w:tc>
        <w:tc>
          <w:tcPr>
            <w:tcW w:type="dxa" w:w="3168"/>
          </w:tcPr>
          <w:p>
            <w:pPr>
              <w:spacing w:after="20" w:before="20"/>
            </w:pPr>
            <w:r/>
            <w:r>
              <w:rPr>
                <w:b w:val="0"/>
                <w:sz w:val="18"/>
              </w:rPr>
              <w:t>Only Ahmed (hardcoded email)</w:t>
            </w:r>
          </w:p>
        </w:tc>
        <w:tc>
          <w:tcPr>
            <w:tcW w:type="dxa" w:w="3888"/>
          </w:tcPr>
          <w:p>
            <w:pPr>
              <w:spacing w:after="20" w:before="20"/>
            </w:pPr>
            <w:r/>
            <w:r>
              <w:rPr>
                <w:b w:val="0"/>
                <w:sz w:val="18"/>
              </w:rPr>
              <w:t>ts.approve.roshen — granted to Ahmed (parity table / migration 002)</w:t>
            </w:r>
          </w:p>
        </w:tc>
      </w:tr>
      <w:tr>
        <w:tc>
          <w:tcPr>
            <w:tcW w:type="dxa" w:w="2448"/>
            <w:shd w:val="clear" w:color="auto" w:fill="F1F4F8"/>
          </w:tcPr>
          <w:p>
            <w:pPr>
              <w:spacing w:after="20" w:before="20"/>
            </w:pPr>
            <w:r/>
            <w:r>
              <w:rPr>
                <w:b w:val="0"/>
                <w:sz w:val="18"/>
              </w:rPr>
              <w:t>Relia approval</w:t>
            </w:r>
          </w:p>
        </w:tc>
        <w:tc>
          <w:tcPr>
            <w:tcW w:type="dxa" w:w="3168"/>
            <w:shd w:val="clear" w:color="auto" w:fill="F1F4F8"/>
          </w:tcPr>
          <w:p>
            <w:pPr>
              <w:spacing w:after="20" w:before="20"/>
            </w:pPr>
            <w:r/>
            <w:r>
              <w:rPr>
                <w:b w:val="0"/>
                <w:sz w:val="18"/>
              </w:rPr>
              <w:t>Only Muhammad</w:t>
            </w:r>
          </w:p>
        </w:tc>
        <w:tc>
          <w:tcPr>
            <w:tcW w:type="dxa" w:w="3888"/>
            <w:shd w:val="clear" w:color="auto" w:fill="F1F4F8"/>
          </w:tcPr>
          <w:p>
            <w:pPr>
              <w:spacing w:after="20" w:before="20"/>
            </w:pPr>
            <w:r/>
            <w:r>
              <w:rPr>
                <w:b w:val="0"/>
                <w:sz w:val="18"/>
              </w:rPr>
              <w:t>ts.approve.relia — Muhammad</w:t>
            </w:r>
          </w:p>
        </w:tc>
      </w:tr>
      <w:tr>
        <w:tc>
          <w:tcPr>
            <w:tcW w:type="dxa" w:w="2448"/>
          </w:tcPr>
          <w:p>
            <w:pPr>
              <w:spacing w:after="20" w:before="20"/>
            </w:pPr>
            <w:r/>
            <w:r>
              <w:rPr>
                <w:b w:val="0"/>
                <w:sz w:val="18"/>
              </w:rPr>
              <w:t>Final approval</w:t>
            </w:r>
          </w:p>
        </w:tc>
        <w:tc>
          <w:tcPr>
            <w:tcW w:type="dxa" w:w="3168"/>
          </w:tcPr>
          <w:p>
            <w:pPr>
              <w:spacing w:after="20" w:before="20"/>
            </w:pPr>
            <w:r/>
            <w:r>
              <w:rPr>
                <w:b w:val="0"/>
                <w:sz w:val="18"/>
              </w:rPr>
              <w:t>Only Dmytro (+test), read-only otherwise</w:t>
            </w:r>
          </w:p>
        </w:tc>
        <w:tc>
          <w:tcPr>
            <w:tcW w:type="dxa" w:w="3888"/>
          </w:tcPr>
          <w:p>
            <w:pPr>
              <w:spacing w:after="20" w:before="20"/>
            </w:pPr>
            <w:r/>
            <w:r>
              <w:rPr>
                <w:b w:val="0"/>
                <w:sz w:val="18"/>
              </w:rPr>
              <w:t>ts.approve.final — same people; create/edit/delete revoked</w:t>
            </w:r>
          </w:p>
        </w:tc>
      </w:tr>
      <w:tr>
        <w:tc>
          <w:tcPr>
            <w:tcW w:type="dxa" w:w="2448"/>
            <w:shd w:val="clear" w:color="auto" w:fill="F1F4F8"/>
          </w:tcPr>
          <w:p>
            <w:pPr>
              <w:spacing w:after="20" w:before="20"/>
            </w:pPr>
            <w:r/>
            <w:r>
              <w:rPr>
                <w:b w:val="0"/>
                <w:sz w:val="18"/>
              </w:rPr>
              <w:t>Final-approved record</w:t>
            </w:r>
          </w:p>
        </w:tc>
        <w:tc>
          <w:tcPr>
            <w:tcW w:type="dxa" w:w="3168"/>
            <w:shd w:val="clear" w:color="auto" w:fill="F1F4F8"/>
          </w:tcPr>
          <w:p>
            <w:pPr>
              <w:spacing w:after="20" w:before="20"/>
            </w:pPr>
            <w:r/>
            <w:r>
              <w:rPr>
                <w:b w:val="0"/>
                <w:sz w:val="18"/>
              </w:rPr>
              <w:t>Locked except System Admin</w:t>
            </w:r>
          </w:p>
        </w:tc>
        <w:tc>
          <w:tcPr>
            <w:tcW w:type="dxa" w:w="3888"/>
            <w:shd w:val="clear" w:color="auto" w:fill="F1F4F8"/>
          </w:tcPr>
          <w:p>
            <w:pPr>
              <w:spacing w:after="20" w:before="20"/>
            </w:pPr>
            <w:r/>
            <w:r>
              <w:rPr>
                <w:b w:val="0"/>
                <w:sz w:val="18"/>
              </w:rPr>
              <w:t>Identical (canEditRow port)</w:t>
            </w:r>
          </w:p>
        </w:tc>
      </w:tr>
      <w:tr>
        <w:tc>
          <w:tcPr>
            <w:tcW w:type="dxa" w:w="2448"/>
          </w:tcPr>
          <w:p>
            <w:pPr>
              <w:spacing w:after="20" w:before="20"/>
            </w:pPr>
            <w:r/>
            <w:r>
              <w:rPr>
                <w:b w:val="0"/>
                <w:sz w:val="18"/>
              </w:rPr>
              <w:t>Final-rejected record</w:t>
            </w:r>
          </w:p>
        </w:tc>
        <w:tc>
          <w:tcPr>
            <w:tcW w:type="dxa" w:w="3168"/>
          </w:tcPr>
          <w:p>
            <w:pPr>
              <w:spacing w:after="20" w:before="20"/>
            </w:pPr>
            <w:r/>
            <w:r>
              <w:rPr>
                <w:b w:val="0"/>
                <w:sz w:val="18"/>
              </w:rPr>
              <w:t>Returns to creator; re-enters approval on edit</w:t>
            </w:r>
          </w:p>
        </w:tc>
        <w:tc>
          <w:tcPr>
            <w:tcW w:type="dxa" w:w="3888"/>
          </w:tcPr>
          <w:p>
            <w:pPr>
              <w:spacing w:after="20" w:before="20"/>
            </w:pPr>
            <w:r/>
            <w:r>
              <w:rPr>
                <w:b w:val="0"/>
                <w:sz w:val="18"/>
              </w:rPr>
              <w:t>Identical</w:t>
            </w:r>
          </w:p>
        </w:tc>
      </w:tr>
      <w:tr>
        <w:tc>
          <w:tcPr>
            <w:tcW w:type="dxa" w:w="2448"/>
            <w:shd w:val="clear" w:color="auto" w:fill="F1F4F8"/>
          </w:tcPr>
          <w:p>
            <w:pPr>
              <w:spacing w:after="20" w:before="20"/>
            </w:pPr>
            <w:r/>
            <w:r>
              <w:rPr>
                <w:b w:val="0"/>
                <w:sz w:val="18"/>
              </w:rPr>
              <w:t>Overall status / verdict / split / periods / truncation</w:t>
            </w:r>
          </w:p>
        </w:tc>
        <w:tc>
          <w:tcPr>
            <w:tcW w:type="dxa" w:w="3168"/>
            <w:shd w:val="clear" w:color="auto" w:fill="F1F4F8"/>
          </w:tcPr>
          <w:p>
            <w:pPr>
              <w:spacing w:after="20" w:before="20"/>
            </w:pPr>
            <w:r/>
            <w:r>
              <w:rPr>
                <w:b w:val="0"/>
                <w:sz w:val="18"/>
              </w:rPr>
              <w:t>—</w:t>
            </w:r>
          </w:p>
        </w:tc>
        <w:tc>
          <w:tcPr>
            <w:tcW w:type="dxa" w:w="3888"/>
            <w:shd w:val="clear" w:color="auto" w:fill="F1F4F8"/>
          </w:tcPr>
          <w:p>
            <w:pPr>
              <w:spacing w:after="20" w:before="20"/>
            </w:pPr>
            <w:r/>
            <w:r>
              <w:rPr>
                <w:b w:val="0"/>
                <w:sz w:val="18"/>
              </w:rPr>
              <w:t>Verbatim ports, test-covered</w:t>
            </w:r>
          </w:p>
        </w:tc>
      </w:tr>
      <w:tr>
        <w:tc>
          <w:tcPr>
            <w:tcW w:type="dxa" w:w="2448"/>
          </w:tcPr>
          <w:p>
            <w:pPr>
              <w:spacing w:after="20" w:before="20"/>
            </w:pPr>
            <w:r/>
            <w:r>
              <w:rPr>
                <w:b w:val="0"/>
                <w:sz w:val="18"/>
              </w:rPr>
              <w:t>Excel export</w:t>
            </w:r>
          </w:p>
        </w:tc>
        <w:tc>
          <w:tcPr>
            <w:tcW w:type="dxa" w:w="3168"/>
          </w:tcPr>
          <w:p>
            <w:pPr>
              <w:spacing w:after="20" w:before="20"/>
            </w:pPr>
            <w:r/>
            <w:r>
              <w:rPr>
                <w:b w:val="0"/>
                <w:sz w:val="18"/>
              </w:rPr>
              <w:t>45-column sheet</w:t>
            </w:r>
          </w:p>
        </w:tc>
        <w:tc>
          <w:tcPr>
            <w:tcW w:type="dxa" w:w="3888"/>
          </w:tcPr>
          <w:p>
            <w:pPr>
              <w:spacing w:after="20" w:before="20"/>
            </w:pPr>
            <w:r/>
            <w:r>
              <w:rPr>
                <w:b w:val="0"/>
                <w:sz w:val="18"/>
              </w:rPr>
              <w:t>Same columns, same order</w:t>
            </w:r>
          </w:p>
        </w:tc>
      </w:tr>
      <w:tr>
        <w:tc>
          <w:tcPr>
            <w:tcW w:type="dxa" w:w="2448"/>
            <w:shd w:val="clear" w:color="auto" w:fill="F1F4F8"/>
          </w:tcPr>
          <w:p>
            <w:pPr>
              <w:spacing w:after="20" w:before="20"/>
            </w:pPr>
            <w:r/>
            <w:r>
              <w:rPr>
                <w:b w:val="0"/>
                <w:sz w:val="18"/>
              </w:rPr>
              <w:t>Sales source</w:t>
            </w:r>
          </w:p>
        </w:tc>
        <w:tc>
          <w:tcPr>
            <w:tcW w:type="dxa" w:w="3168"/>
            <w:shd w:val="clear" w:color="auto" w:fill="F1F4F8"/>
          </w:tcPr>
          <w:p>
            <w:pPr>
              <w:spacing w:after="20" w:before="20"/>
            </w:pPr>
            <w:r/>
            <w:r>
              <w:rPr>
                <w:b w:val="0"/>
                <w:sz w:val="18"/>
              </w:rPr>
              <w:t>Own upload/blob</w:t>
            </w:r>
          </w:p>
        </w:tc>
        <w:tc>
          <w:tcPr>
            <w:tcW w:type="dxa" w:w="3888"/>
            <w:shd w:val="clear" w:color="auto" w:fill="F1F4F8"/>
          </w:tcPr>
          <w:p>
            <w:pPr>
              <w:spacing w:after="20" w:before="20"/>
            </w:pPr>
            <w:r/>
            <w:r>
              <w:rPr>
                <w:b w:val="0"/>
                <w:sz w:val="18"/>
              </w:rPr>
              <w:t>Dashboard dataset (approved change) — figures follow the Dashboard's data</w:t>
            </w:r>
          </w:p>
        </w:tc>
      </w:tr>
    </w:tbl>
    <w:p>
      <w:pPr>
        <w:spacing w:after="40"/>
      </w:pPr>
    </w:p>
    <w:p>
      <w:r>
        <w:rPr>
          <w:b w:val="0"/>
          <w:i/>
          <w:color w:val="5A6B82"/>
        </w:rPr>
        <w:t>Note: because the module now reads the Dashboard's sales (the approved single source of truth), uplift/ROI for a given activity can differ from the legacy app when the two sales datasets differ. That is the intended outcome, not a defect; side-by-side numeric comparison on shared customers is part of your manual validation.</w:t>
      </w:r>
    </w:p>
    <w:p>
      <w:pPr>
        <w:pStyle w:val="Heading1"/>
      </w:pPr>
      <w:r>
        <w:t>5.  Screenshots (deliverables 4–5)</w:t>
      </w:r>
    </w:p>
    <w:p>
      <w:r>
        <w:rPr>
          <w:b w:val="0"/>
          <w:i w:val="0"/>
        </w:rPr>
        <w:t>9 captures in trade-spend-module/reports/screenshots/ — dark &amp; light, desktop 1440, laptop 1366, mobile 390: Activity Log (badges, approval pills, lock icons), detail modal with approval timeline, New Activity form with live category chips from the shared dataset and split slider, Analysis charts, plus the Analytics round-trip regression shot. Captured with representative mock rows (offline sandbox cannot reach the cloud); the layout, permissions and logic paths are the production code.</w:t>
      </w:r>
    </w:p>
    <w:p>
      <w:pPr>
        <w:pStyle w:val="Heading1"/>
      </w:pPr>
      <w:r>
        <w:t>6.  Performance impact (deliverable 9)</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A2942"/>
          </w:tcPr>
          <w:p>
            <w:pPr>
              <w:spacing w:after="20" w:before="20"/>
            </w:pPr>
            <w:r/>
            <w:r>
              <w:rPr>
                <w:b/>
                <w:color w:val="FFFFFF"/>
                <w:sz w:val="18"/>
              </w:rPr>
              <w:t>Aspect</w:t>
            </w:r>
          </w:p>
        </w:tc>
        <w:tc>
          <w:tcPr>
            <w:tcW w:type="dxa" w:w="6912"/>
            <w:shd w:val="clear" w:color="auto" w:fill="1A2942"/>
          </w:tcPr>
          <w:p>
            <w:pPr>
              <w:spacing w:after="20" w:before="20"/>
            </w:pPr>
            <w:r/>
            <w:r>
              <w:rPr>
                <w:b/>
                <w:color w:val="FFFFFF"/>
                <w:sz w:val="18"/>
              </w:rPr>
              <w:t>Impact</w:t>
            </w:r>
          </w:p>
        </w:tc>
      </w:tr>
      <w:tr>
        <w:tc>
          <w:tcPr>
            <w:tcW w:type="dxa" w:w="2592"/>
          </w:tcPr>
          <w:p>
            <w:pPr>
              <w:spacing w:after="20" w:before="20"/>
            </w:pPr>
            <w:r/>
            <w:r>
              <w:rPr>
                <w:b w:val="0"/>
                <w:sz w:val="18"/>
              </w:rPr>
              <w:t>Dashboard boot</w:t>
            </w:r>
          </w:p>
        </w:tc>
        <w:tc>
          <w:tcPr>
            <w:tcW w:type="dxa" w:w="6912"/>
          </w:tcPr>
          <w:p>
            <w:pPr>
              <w:spacing w:after="20" w:before="20"/>
            </w:pPr>
            <w:r/>
            <w:r>
              <w:rPr>
                <w:b w:val="0"/>
                <w:sz w:val="18"/>
              </w:rPr>
              <w:t>Negligible — module code is +88 KB (~0.4%) on a 20 MB page; no work at boot beyond namespace definition</w:t>
            </w:r>
          </w:p>
        </w:tc>
      </w:tr>
      <w:tr>
        <w:tc>
          <w:tcPr>
            <w:tcW w:type="dxa" w:w="2592"/>
            <w:shd w:val="clear" w:color="auto" w:fill="F1F4F8"/>
          </w:tcPr>
          <w:p>
            <w:pPr>
              <w:spacing w:after="20" w:before="20"/>
            </w:pPr>
            <w:r/>
            <w:r>
              <w:rPr>
                <w:b w:val="0"/>
                <w:sz w:val="18"/>
              </w:rPr>
              <w:t>Other modes</w:t>
            </w:r>
          </w:p>
        </w:tc>
        <w:tc>
          <w:tcPr>
            <w:tcW w:type="dxa" w:w="6912"/>
            <w:shd w:val="clear" w:color="auto" w:fill="F1F4F8"/>
          </w:tcPr>
          <w:p>
            <w:pPr>
              <w:spacing w:after="20" w:before="20"/>
            </w:pPr>
            <w:r/>
            <w:r>
              <w:rPr>
                <w:b w:val="0"/>
                <w:sz w:val="18"/>
              </w:rPr>
              <w:t>Zero — module renders only when entered; polling starts on first entry and skips when tab hidden or another mode active</w:t>
            </w:r>
          </w:p>
        </w:tc>
      </w:tr>
      <w:tr>
        <w:tc>
          <w:tcPr>
            <w:tcW w:type="dxa" w:w="2592"/>
          </w:tcPr>
          <w:p>
            <w:pPr>
              <w:spacing w:after="20" w:before="20"/>
            </w:pPr>
            <w:r/>
            <w:r>
              <w:rPr>
                <w:b w:val="0"/>
                <w:sz w:val="18"/>
              </w:rPr>
              <w:t>First module entry</w:t>
            </w:r>
          </w:p>
        </w:tc>
        <w:tc>
          <w:tcPr>
            <w:tcW w:type="dxa" w:w="6912"/>
          </w:tcPr>
          <w:p>
            <w:pPr>
              <w:spacing w:after="20" w:before="20"/>
            </w:pPr>
            <w:r/>
            <w:r>
              <w:rPr>
                <w:b w:val="0"/>
                <w:sz w:val="18"/>
              </w:rPr>
              <w:t>One activities fetch + one auth resolve; sales index built once (~O(rows), &lt;100 ms for 97k rows), cached per dataset version</w:t>
            </w:r>
          </w:p>
        </w:tc>
      </w:tr>
      <w:tr>
        <w:tc>
          <w:tcPr>
            <w:tcW w:type="dxa" w:w="2592"/>
            <w:shd w:val="clear" w:color="auto" w:fill="F1F4F8"/>
          </w:tcPr>
          <w:p>
            <w:pPr>
              <w:spacing w:after="20" w:before="20"/>
            </w:pPr>
            <w:r/>
            <w:r>
              <w:rPr>
                <w:b w:val="0"/>
                <w:sz w:val="18"/>
              </w:rPr>
              <w:t>Realtime</w:t>
            </w:r>
          </w:p>
        </w:tc>
        <w:tc>
          <w:tcPr>
            <w:tcW w:type="dxa" w:w="6912"/>
            <w:shd w:val="clear" w:color="auto" w:fill="F1F4F8"/>
          </w:tcPr>
          <w:p>
            <w:pPr>
              <w:spacing w:after="20" w:before="20"/>
            </w:pPr>
            <w:r/>
            <w:r>
              <w:rPr>
                <w:b w:val="0"/>
                <w:sz w:val="18"/>
              </w:rPr>
              <w:t>One Supabase channel; auto-teardown/resubscribe on drop</w:t>
            </w:r>
          </w:p>
        </w:tc>
      </w:tr>
      <w:tr>
        <w:tc>
          <w:tcPr>
            <w:tcW w:type="dxa" w:w="2592"/>
          </w:tcPr>
          <w:p>
            <w:pPr>
              <w:spacing w:after="20" w:before="20"/>
            </w:pPr>
            <w:r/>
            <w:r>
              <w:rPr>
                <w:b w:val="0"/>
                <w:sz w:val="18"/>
              </w:rPr>
              <w:t>PDF libs</w:t>
            </w:r>
          </w:p>
        </w:tc>
        <w:tc>
          <w:tcPr>
            <w:tcW w:type="dxa" w:w="6912"/>
          </w:tcPr>
          <w:p>
            <w:pPr>
              <w:spacing w:after="20" w:before="20"/>
            </w:pPr>
            <w:r/>
            <w:r>
              <w:rPr>
                <w:b w:val="0"/>
                <w:sz w:val="18"/>
              </w:rPr>
              <w:t>Lazy-loaded only when PDF export is clicked</w:t>
            </w:r>
          </w:p>
        </w:tc>
      </w:tr>
      <w:tr>
        <w:tc>
          <w:tcPr>
            <w:tcW w:type="dxa" w:w="2592"/>
            <w:shd w:val="clear" w:color="auto" w:fill="F1F4F8"/>
          </w:tcPr>
          <w:p>
            <w:pPr>
              <w:spacing w:after="20" w:before="20"/>
            </w:pPr>
            <w:r/>
            <w:r>
              <w:rPr>
                <w:b w:val="0"/>
                <w:sz w:val="18"/>
              </w:rPr>
              <w:t>Legacy app</w:t>
            </w:r>
          </w:p>
        </w:tc>
        <w:tc>
          <w:tcPr>
            <w:tcW w:type="dxa" w:w="6912"/>
            <w:shd w:val="clear" w:color="auto" w:fill="F1F4F8"/>
          </w:tcPr>
          <w:p>
            <w:pPr>
              <w:spacing w:after="20" w:before="20"/>
            </w:pPr>
            <w:r/>
            <w:r>
              <w:rPr>
                <w:b w:val="0"/>
                <w:sz w:val="18"/>
              </w:rPr>
              <w:t>Unaffected — file untouched</w:t>
            </w:r>
          </w:p>
        </w:tc>
      </w:tr>
    </w:tbl>
    <w:p>
      <w:pPr>
        <w:spacing w:after="40"/>
      </w:pPr>
    </w:p>
    <w:p>
      <w:pPr>
        <w:pStyle w:val="Heading1"/>
      </w:pPr>
      <w:r>
        <w:t>7.  Risk summary (deliverable 10)</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A2942"/>
          </w:tcPr>
          <w:p>
            <w:pPr>
              <w:spacing w:after="20" w:before="20"/>
            </w:pPr>
            <w:r/>
            <w:r>
              <w:rPr>
                <w:b/>
                <w:color w:val="FFFFFF"/>
                <w:sz w:val="18"/>
              </w:rPr>
              <w:t>Risk</w:t>
            </w:r>
          </w:p>
        </w:tc>
        <w:tc>
          <w:tcPr>
            <w:tcW w:type="dxa" w:w="1296"/>
            <w:shd w:val="clear" w:color="auto" w:fill="1A2942"/>
          </w:tcPr>
          <w:p>
            <w:pPr>
              <w:spacing w:after="20" w:before="20"/>
            </w:pPr>
            <w:r/>
            <w:r>
              <w:rPr>
                <w:b/>
                <w:color w:val="FFFFFF"/>
                <w:sz w:val="18"/>
              </w:rPr>
              <w:t>Level</w:t>
            </w:r>
          </w:p>
        </w:tc>
        <w:tc>
          <w:tcPr>
            <w:tcW w:type="dxa" w:w="5040"/>
            <w:shd w:val="clear" w:color="auto" w:fill="1A2942"/>
          </w:tcPr>
          <w:p>
            <w:pPr>
              <w:spacing w:after="20" w:before="20"/>
            </w:pPr>
            <w:r/>
            <w:r>
              <w:rPr>
                <w:b/>
                <w:color w:val="FFFFFF"/>
                <w:sz w:val="18"/>
              </w:rPr>
              <w:t>Mitigation</w:t>
            </w:r>
          </w:p>
        </w:tc>
      </w:tr>
      <w:tr>
        <w:tc>
          <w:tcPr>
            <w:tcW w:type="dxa" w:w="3168"/>
          </w:tcPr>
          <w:p>
            <w:pPr>
              <w:spacing w:after="20" w:before="20"/>
            </w:pPr>
            <w:r/>
            <w:r>
              <w:rPr>
                <w:b w:val="0"/>
                <w:sz w:val="18"/>
              </w:rPr>
              <w:t>Dashboard regression</w:t>
            </w:r>
          </w:p>
        </w:tc>
        <w:tc>
          <w:tcPr>
            <w:tcW w:type="dxa" w:w="1296"/>
          </w:tcPr>
          <w:p>
            <w:pPr>
              <w:spacing w:after="20" w:before="20"/>
            </w:pPr>
            <w:r/>
            <w:r>
              <w:rPr>
                <w:b w:val="0"/>
                <w:sz w:val="18"/>
              </w:rPr>
              <w:t>Low</w:t>
            </w:r>
          </w:p>
        </w:tc>
        <w:tc>
          <w:tcPr>
            <w:tcW w:type="dxa" w:w="5040"/>
          </w:tcPr>
          <w:p>
            <w:pPr>
              <w:spacing w:after="20" w:before="20"/>
            </w:pPr>
            <w:r/>
            <w:r>
              <w:rPr>
                <w:b w:val="0"/>
                <w:sz w:val="18"/>
              </w:rPr>
              <w:t>All edits additive &amp; namespaced; one shared-selector hardening verified as no-op; syntax + boot + round-trip regression checks</w:t>
            </w:r>
          </w:p>
        </w:tc>
      </w:tr>
      <w:tr>
        <w:tc>
          <w:tcPr>
            <w:tcW w:type="dxa" w:w="3168"/>
            <w:shd w:val="clear" w:color="auto" w:fill="F1F4F8"/>
          </w:tcPr>
          <w:p>
            <w:pPr>
              <w:spacing w:after="20" w:before="20"/>
            </w:pPr>
            <w:r/>
            <w:r>
              <w:rPr>
                <w:b w:val="0"/>
                <w:sz w:val="18"/>
              </w:rPr>
              <w:t>Approval bypass</w:t>
            </w:r>
          </w:p>
        </w:tc>
        <w:tc>
          <w:tcPr>
            <w:tcW w:type="dxa" w:w="1296"/>
            <w:shd w:val="clear" w:color="auto" w:fill="F1F4F8"/>
          </w:tcPr>
          <w:p>
            <w:pPr>
              <w:spacing w:after="20" w:before="20"/>
            </w:pPr>
            <w:r/>
            <w:r>
              <w:rPr>
                <w:b w:val="0"/>
                <w:sz w:val="18"/>
              </w:rPr>
              <w:t>Low</w:t>
            </w:r>
          </w:p>
        </w:tc>
        <w:tc>
          <w:tcPr>
            <w:tcW w:type="dxa" w:w="5040"/>
            <w:shd w:val="clear" w:color="auto" w:fill="F1F4F8"/>
          </w:tcPr>
          <w:p>
            <w:pPr>
              <w:spacing w:after="20" w:before="20"/>
            </w:pPr>
            <w:r/>
            <w:r>
              <w:rPr>
                <w:b w:val="0"/>
                <w:sz w:val="18"/>
              </w:rPr>
              <w:t>Same client gates as legacy + the server-side RLS/trigger on `activities` still enforces; migration 002 will move person-grants into the DB</w:t>
            </w:r>
          </w:p>
        </w:tc>
      </w:tr>
      <w:tr>
        <w:tc>
          <w:tcPr>
            <w:tcW w:type="dxa" w:w="3168"/>
          </w:tcPr>
          <w:p>
            <w:pPr>
              <w:spacing w:after="20" w:before="20"/>
            </w:pPr>
            <w:r/>
            <w:r>
              <w:rPr>
                <w:b w:val="0"/>
                <w:sz w:val="18"/>
              </w:rPr>
              <w:t>Sales-figure divergence vs legacy</w:t>
            </w:r>
          </w:p>
        </w:tc>
        <w:tc>
          <w:tcPr>
            <w:tcW w:type="dxa" w:w="1296"/>
          </w:tcPr>
          <w:p>
            <w:pPr>
              <w:spacing w:after="20" w:before="20"/>
            </w:pPr>
            <w:r/>
            <w:r>
              <w:rPr>
                <w:b w:val="0"/>
                <w:sz w:val="18"/>
              </w:rPr>
              <w:t>Expected</w:t>
            </w:r>
          </w:p>
        </w:tc>
        <w:tc>
          <w:tcPr>
            <w:tcW w:type="dxa" w:w="5040"/>
          </w:tcPr>
          <w:p>
            <w:pPr>
              <w:spacing w:after="20" w:before="20"/>
            </w:pPr>
            <w:r/>
            <w:r>
              <w:rPr>
                <w:b w:val="0"/>
                <w:sz w:val="18"/>
              </w:rPr>
              <w:t>By design (single source of truth); validate side-by-side before retiring legacy</w:t>
            </w:r>
          </w:p>
        </w:tc>
      </w:tr>
      <w:tr>
        <w:tc>
          <w:tcPr>
            <w:tcW w:type="dxa" w:w="3168"/>
            <w:shd w:val="clear" w:color="auto" w:fill="F1F4F8"/>
          </w:tcPr>
          <w:p>
            <w:pPr>
              <w:spacing w:after="20" w:before="20"/>
            </w:pPr>
            <w:r/>
            <w:r>
              <w:rPr>
                <w:b w:val="0"/>
                <w:sz w:val="18"/>
              </w:rPr>
              <w:t>Offline (file://) use</w:t>
            </w:r>
          </w:p>
        </w:tc>
        <w:tc>
          <w:tcPr>
            <w:tcW w:type="dxa" w:w="1296"/>
            <w:shd w:val="clear" w:color="auto" w:fill="F1F4F8"/>
          </w:tcPr>
          <w:p>
            <w:pPr>
              <w:spacing w:after="20" w:before="20"/>
            </w:pPr>
            <w:r/>
            <w:r>
              <w:rPr>
                <w:b w:val="0"/>
                <w:sz w:val="18"/>
              </w:rPr>
              <w:t>Handled</w:t>
            </w:r>
          </w:p>
        </w:tc>
        <w:tc>
          <w:tcPr>
            <w:tcW w:type="dxa" w:w="5040"/>
            <w:shd w:val="clear" w:color="auto" w:fill="F1F4F8"/>
          </w:tcPr>
          <w:p>
            <w:pPr>
              <w:spacing w:after="20" w:before="20"/>
            </w:pPr>
            <w:r/>
            <w:r>
              <w:rPr>
                <w:b w:val="0"/>
                <w:sz w:val="18"/>
              </w:rPr>
              <w:t>Module degrades to a clear 'cloud sign-in required' state</w:t>
            </w:r>
          </w:p>
        </w:tc>
      </w:tr>
      <w:tr>
        <w:tc>
          <w:tcPr>
            <w:tcW w:type="dxa" w:w="3168"/>
          </w:tcPr>
          <w:p>
            <w:pPr>
              <w:spacing w:after="20" w:before="20"/>
            </w:pPr>
            <w:r/>
            <w:r>
              <w:rPr>
                <w:b w:val="0"/>
                <w:sz w:val="18"/>
              </w:rPr>
              <w:t>Category attribution</w:t>
            </w:r>
          </w:p>
        </w:tc>
        <w:tc>
          <w:tcPr>
            <w:tcW w:type="dxa" w:w="1296"/>
          </w:tcPr>
          <w:p>
            <w:pPr>
              <w:spacing w:after="20" w:before="20"/>
            </w:pPr>
            <w:r/>
            <w:r>
              <w:rPr>
                <w:b w:val="0"/>
                <w:sz w:val="18"/>
              </w:rPr>
              <w:t>Open</w:t>
            </w:r>
          </w:p>
        </w:tc>
        <w:tc>
          <w:tcPr>
            <w:tcW w:type="dxa" w:w="5040"/>
          </w:tcPr>
          <w:p>
            <w:pPr>
              <w:spacing w:after="20" w:before="20"/>
            </w:pPr>
            <w:r/>
            <w:r>
              <w:rPr>
                <w:b w:val="0"/>
                <w:sz w:val="18"/>
              </w:rPr>
              <w:t>Awaits your decisions on the 14 conflicts (M1 report); until applied, categories come from activity records as today</w:t>
            </w:r>
          </w:p>
        </w:tc>
      </w:tr>
    </w:tbl>
    <w:p>
      <w:pPr>
        <w:spacing w:after="40"/>
      </w:pPr>
    </w:p>
    <w:p>
      <w:pPr>
        <w:pStyle w:val="Heading1"/>
      </w:pPr>
      <w:r>
        <w:t>8.  What I need from you</w:t>
      </w:r>
    </w:p>
    <w:p>
      <w:pPr>
        <w:pStyle w:val="ListBullet"/>
        <w:spacing w:after="40"/>
      </w:pPr>
      <w:r>
        <w:t>Review the module on the feature branch (PR #447) — visual/manual UI verification.</w:t>
      </w:r>
    </w:p>
    <w:p>
      <w:pPr>
        <w:pStyle w:val="ListBullet"/>
        <w:spacing w:after="40"/>
      </w:pPr>
      <w:r>
        <w:t>Category conflicts: approve/override the 13 majority suggestions; decide the Fudgenta tie.</w:t>
      </w:r>
    </w:p>
    <w:p>
      <w:pPr>
        <w:pStyle w:val="ListBullet"/>
        <w:spacing w:after="40"/>
      </w:pPr>
      <w:r>
        <w:t>Say the word to apply migrations 001–003 (and 004 after your decisions) — nothing runs until then.</w:t>
      </w:r>
    </w:p>
    <w:p>
      <w:pPr>
        <w:pStyle w:val="ListBullet"/>
        <w:spacing w:after="40"/>
      </w:pPr>
      <w:r>
        <w:t>After your validation passes: approve deploy. Retiring the legacy app remains a separate, later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29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C2263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A29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