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Final Production Readiness Report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Final Production Readiness Report</w:t>
      </w:r>
    </w:p>
    <w:p>
      <w:r>
        <w:rPr>
          <w:b/>
        </w:rPr>
        <w:t>Target production environment: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(Supabase </w:t>
      </w:r>
      <w:r>
        <w:rPr>
          <w:rFonts w:ascii="Consolas" w:hAnsi="Consolas"/>
          <w:sz w:val="19"/>
        </w:rPr>
        <w:t>rsjvgehvastmawzwnqcs</w:t>
      </w:r>
      <w:r>
        <w:t>, eu-west-1,</w:t>
      </w:r>
    </w:p>
    <w:p>
      <w:r>
        <w:t>Postgres 17.6) — promoted to production for the first FMCG distributor pilot.</w:t>
      </w:r>
    </w:p>
    <w:p>
      <w:r>
        <w:rPr>
          <w:b/>
        </w:rPr>
        <w:t>`kako-fmcg`:</w:t>
      </w:r>
      <w:r>
        <w:t xml:space="preserve"> not touched, not referenced. </w:t>
      </w:r>
      <w:r>
        <w:rPr>
          <w:b/>
        </w:rPr>
        <w:t>Date:</w:t>
      </w:r>
      <w:r>
        <w:t xml:space="preserve"> 2026-06-10. </w:t>
      </w:r>
      <w:r>
        <w:rPr>
          <w:b/>
        </w:rPr>
        <w:t>Mode:</w:t>
      </w:r>
      <w:r>
        <w:t xml:space="preserve"> review-only (no mutation).</w:t>
      </w:r>
    </w:p>
    <w:p>
      <w:pPr>
        <w:pStyle w:val="Heading2"/>
      </w:pPr>
      <w:r>
        <w:rPr>
          <w:color w:val="1F497D"/>
        </w:rPr>
        <w:t>1. Executive summary</w:t>
      </w:r>
    </w:p>
    <w:p>
      <w:r>
        <w:t xml:space="preserve">The environment is </w:t>
      </w:r>
      <w:r>
        <w:rPr>
          <w:b/>
        </w:rPr>
        <w:t>technically ready</w:t>
      </w:r>
      <w:r>
        <w:t xml:space="preserve"> to become production. Schema, the refined FMCG role model, and</w:t>
      </w:r>
    </w:p>
    <w:p>
      <w:r>
        <w:t xml:space="preserve">the full van-sales transaction loop are validated. Remaining work is </w:t>
      </w:r>
      <w:r>
        <w:rPr>
          <w:b/>
        </w:rPr>
        <w:t>operational and sequenced</w:t>
      </w:r>
      <w:r>
        <w:t>: enable</w:t>
      </w:r>
    </w:p>
    <w:p>
      <w:r>
        <w:t>backups, wipe demo data, import the distributor's real data, invite real users, and publish a public</w:t>
      </w:r>
    </w:p>
    <w:p>
      <w:r>
        <w:t xml:space="preserve">frontend. </w:t>
      </w:r>
      <w:r>
        <w:rPr>
          <w:b/>
        </w:rPr>
        <w:t>No code or schema blockers remain.</w:t>
      </w:r>
      <w:r>
        <w:t xml:space="preserve"> The one hard gate before any data mutation is a **verified</w:t>
      </w:r>
    </w:p>
    <w:p>
      <w:r>
        <w:t>PITR / backup restore point** (your action).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t>Schema &amp; data model</w:t>
            </w:r>
          </w:p>
        </w:tc>
        <w:tc>
          <w:tcPr>
            <w:tcW w:type="dxa" w:w="4320"/>
          </w:tcPr>
          <w:p>
            <w:r>
              <w:t>🟢 Ready</w:t>
            </w:r>
          </w:p>
        </w:tc>
      </w:tr>
      <w:tr>
        <w:tc>
          <w:tcPr>
            <w:tcW w:type="dxa" w:w="4320"/>
          </w:tcPr>
          <w:p>
            <w:r>
              <w:t>FMCG transaction loop</w:t>
            </w:r>
          </w:p>
        </w:tc>
        <w:tc>
          <w:tcPr>
            <w:tcW w:type="dxa" w:w="4320"/>
          </w:tcPr>
          <w:p>
            <w:r>
              <w:t>🟢 Ready</w:t>
            </w:r>
          </w:p>
        </w:tc>
      </w:tr>
      <w:tr>
        <w:tc>
          <w:tcPr>
            <w:tcW w:type="dxa" w:w="4320"/>
          </w:tcPr>
          <w:p>
            <w:r>
              <w:t>Role / permission model</w:t>
            </w:r>
          </w:p>
        </w:tc>
        <w:tc>
          <w:tcPr>
            <w:tcW w:type="dxa" w:w="4320"/>
          </w:tcPr>
          <w:p>
            <w:r>
              <w:t>🟢 Ready</w:t>
            </w:r>
          </w:p>
        </w:tc>
      </w:tr>
      <w:tr>
        <w:tc>
          <w:tcPr>
            <w:tcW w:type="dxa" w:w="4320"/>
          </w:tcPr>
          <w:p>
            <w:r>
              <w:t>Security posture</w:t>
            </w:r>
          </w:p>
        </w:tc>
        <w:tc>
          <w:tcPr>
            <w:tcW w:type="dxa" w:w="4320"/>
          </w:tcPr>
          <w:p>
            <w:r>
              <w:t>🟢 No blockers (0 ERROR advisors)</w:t>
            </w:r>
          </w:p>
        </w:tc>
      </w:tr>
      <w:tr>
        <w:tc>
          <w:tcPr>
            <w:tcW w:type="dxa" w:w="4320"/>
          </w:tcPr>
          <w:p>
            <w:r>
              <w:t>Backups / DR</w:t>
            </w:r>
          </w:p>
        </w:tc>
        <w:tc>
          <w:tcPr>
            <w:tcW w:type="dxa" w:w="4320"/>
          </w:tcPr>
          <w:p>
            <w:r>
              <w:t xml:space="preserve">🔴 </w:t>
            </w:r>
            <w:r>
              <w:rPr>
                <w:b/>
              </w:rPr>
              <w:t>Gate</w:t>
            </w:r>
            <w:r>
              <w:t xml:space="preserve"> — enable + verify PITR before cleanup</w:t>
            </w:r>
          </w:p>
        </w:tc>
      </w:tr>
      <w:tr>
        <w:tc>
          <w:tcPr>
            <w:tcW w:type="dxa" w:w="4320"/>
          </w:tcPr>
          <w:p>
            <w:r>
              <w:t>Real data &amp; users</w:t>
            </w:r>
          </w:p>
        </w:tc>
        <w:tc>
          <w:tcPr>
            <w:tcW w:type="dxa" w:w="4320"/>
          </w:tcPr>
          <w:p>
            <w:r>
              <w:t>⚪ Pending import + invites (operational)</w:t>
            </w:r>
          </w:p>
        </w:tc>
      </w:tr>
      <w:tr>
        <w:tc>
          <w:tcPr>
            <w:tcW w:type="dxa" w:w="4320"/>
          </w:tcPr>
          <w:p>
            <w:r>
              <w:t>Public frontend</w:t>
            </w:r>
          </w:p>
        </w:tc>
        <w:tc>
          <w:tcPr>
            <w:tcW w:type="dxa" w:w="4320"/>
          </w:tcPr>
          <w:p>
            <w:r>
              <w:t>🟡 Preview exists; needs prod env vars + public URL</w:t>
            </w:r>
          </w:p>
        </w:tc>
      </w:tr>
    </w:tbl>
    <w:p/>
    <w:p>
      <w:pPr>
        <w:pStyle w:val="Heading2"/>
      </w:pPr>
      <w:r>
        <w:rPr>
          <w:color w:val="1F497D"/>
        </w:rPr>
        <w:t>2. What is proven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Schema completeness</w:t>
            </w:r>
          </w:p>
        </w:tc>
        <w:tc>
          <w:tcPr>
            <w:tcW w:type="dxa" w:w="4320"/>
          </w:tcPr>
          <w:p>
            <w:r>
              <w:t xml:space="preserve">270 </w:t>
            </w:r>
            <w:r>
              <w:rPr>
                <w:rFonts w:ascii="Consolas" w:hAnsi="Consolas"/>
                <w:sz w:val="19"/>
              </w:rPr>
              <w:t>erp_*</w:t>
            </w:r>
            <w:r>
              <w:t xml:space="preserve"> tables, 189 functions; full 250-migration repo schema applied; integrity check passes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FMCG RPCs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erp_van_sell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erp_van_return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erp_settle_collection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erp_compute_van_reconciliation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erp_resolve_price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erp_user_has_permission</w:t>
            </w:r>
            <w:r>
              <w:t xml:space="preserve"> all present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Transaction loop</w:t>
            </w:r>
          </w:p>
        </w:tc>
        <w:tc>
          <w:tcPr>
            <w:tcW w:type="dxa" w:w="4320"/>
          </w:tcPr>
          <w:p>
            <w:r>
              <w:t>sell → collect → return + credit-note → reconcile validated; reconciliation variance 0; numbers tenant-scoped (</w:t>
            </w:r>
            <w:r>
              <w:rPr>
                <w:rFonts w:ascii="Consolas" w:hAnsi="Consolas"/>
                <w:sz w:val="19"/>
              </w:rPr>
              <w:t>0268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Refined roles</w:t>
            </w:r>
          </w:p>
        </w:tc>
        <w:tc>
          <w:tcPr>
            <w:tcW w:type="dxa" w:w="4320"/>
          </w:tcPr>
          <w:p>
            <w:r>
              <w:t xml:space="preserve">Merchandiser / Cash Van / Collection Officer / Credit Controller + Van Rep (cash+credit) seeded by default; </w:t>
            </w:r>
            <w:r>
              <w:rPr>
                <w:b/>
              </w:rPr>
              <w:t>325/325</w:t>
            </w:r>
            <w:r>
              <w:t xml:space="preserve"> role assertions; cash-van credit invoice blocked by permission </w:t>
            </w:r>
            <w:r>
              <w:rPr>
                <w:b/>
              </w:rPr>
              <w:t>and</w:t>
            </w:r>
            <w:r>
              <w:t xml:space="preserve"> DB guard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Multi-tenant isolation</w:t>
            </w:r>
          </w:p>
        </w:tc>
        <w:tc>
          <w:tcPr>
            <w:tcW w:type="dxa" w:w="4320"/>
          </w:tcPr>
          <w:p>
            <w:r>
              <w:t>RLS enforced; tenant-scoped document numbering proven with 2 tenants sharing a branch code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Seed reproducibility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reference-company.sql</w:t>
            </w:r>
            <w:r>
              <w:t xml:space="preserve"> rebuilds the full demo tenant idempotently (also a cleanup fallback)</w:t>
            </w:r>
          </w:p>
        </w:tc>
      </w:tr>
    </w:tbl>
    <w:p/>
    <w:p>
      <w:pPr>
        <w:pStyle w:val="Heading2"/>
      </w:pPr>
      <w:r>
        <w:rPr>
          <w:color w:val="1F497D"/>
        </w:rPr>
        <w:t>3. Security &amp; performance posture (live Supabase advisors)</w:t>
      </w:r>
    </w:p>
    <w:p>
      <w:r>
        <w:rPr>
          <w:b/>
        </w:rPr>
        <w:t>Security: 0 ERROR, 184 WARN.</w:t>
      </w:r>
      <w:r>
        <w:t xml:space="preserve"> None are go-live blockers:</w:t>
      </w:r>
    </w:p>
    <w:p>
      <w:pPr>
        <w:pStyle w:val="ListBullet"/>
      </w:pPr>
      <w:r>
        <w:rPr>
          <w:rFonts w:ascii="Consolas" w:hAnsi="Consolas"/>
          <w:sz w:val="19"/>
        </w:rPr>
        <w:t>authenticated_/anon_security_definer_function_executable</w:t>
      </w:r>
      <w:r>
        <w:t xml:space="preserve"> ×157 — </w:t>
      </w:r>
      <w:r>
        <w:rPr>
          <w:b/>
        </w:rPr>
        <w:t>by design</w:t>
      </w:r>
      <w:r>
        <w:t>: the app's RPC layer is</w:t>
      </w:r>
    </w:p>
    <w:p>
      <w:r>
        <w:rPr>
          <w:rFonts w:ascii="Consolas" w:hAnsi="Consolas"/>
          <w:sz w:val="19"/>
        </w:rPr>
        <w:t>SECURITY DEFINER</w:t>
      </w:r>
      <w:r>
        <w:t xml:space="preserve"> with </w:t>
      </w:r>
      <w:r>
        <w:rPr>
          <w:rFonts w:ascii="Consolas" w:hAnsi="Consolas"/>
          <w:sz w:val="19"/>
        </w:rPr>
        <w:t>auth.uid()</w:t>
      </w:r>
      <w:r>
        <w:t>/permission checks inside. No action.</w:t>
      </w:r>
    </w:p>
    <w:p>
      <w:pPr>
        <w:pStyle w:val="ListBullet"/>
      </w:pPr>
      <w:r>
        <w:rPr>
          <w:rFonts w:ascii="Consolas" w:hAnsi="Consolas"/>
          <w:sz w:val="19"/>
        </w:rPr>
        <w:t>function_search_path_mutable</w:t>
      </w:r>
      <w:r>
        <w:t xml:space="preserve"> ×13 — hardening: add </w:t>
      </w:r>
      <w:r>
        <w:rPr>
          <w:rFonts w:ascii="Consolas" w:hAnsi="Consolas"/>
          <w:sz w:val="19"/>
        </w:rPr>
        <w:t>SET search_path</w:t>
      </w:r>
      <w:r>
        <w:t xml:space="preserve"> to those functions (post-pilot).</w:t>
      </w:r>
    </w:p>
    <w:p>
      <w:pPr>
        <w:pStyle w:val="ListBullet"/>
      </w:pPr>
      <w:r>
        <w:rPr>
          <w:rFonts w:ascii="Consolas" w:hAnsi="Consolas"/>
          <w:sz w:val="19"/>
        </w:rPr>
        <w:t>rls_policy_always_true</w:t>
      </w:r>
      <w:r>
        <w:t xml:space="preserve"> ×11 — review (mostly global lookup tables intended to be world-readable).</w:t>
      </w:r>
    </w:p>
    <w:p>
      <w:pPr>
        <w:pStyle w:val="ListBullet"/>
      </w:pPr>
      <w:r>
        <w:rPr>
          <w:rFonts w:ascii="Consolas" w:hAnsi="Consolas"/>
          <w:sz w:val="19"/>
        </w:rPr>
        <w:t>extension_in_public</w:t>
      </w:r>
      <w:r>
        <w:t xml:space="preserve"> ×2, </w:t>
      </w:r>
      <w:r>
        <w:rPr>
          <w:rFonts w:ascii="Consolas" w:hAnsi="Consolas"/>
          <w:sz w:val="19"/>
        </w:rPr>
        <w:t>auth_leaked_password_protection</w:t>
      </w:r>
      <w:r>
        <w:t xml:space="preserve"> ×1 — </w:t>
      </w:r>
      <w:r>
        <w:rPr>
          <w:b/>
        </w:rPr>
        <w:t>enable leaked-password protection</w:t>
      </w:r>
    </w:p>
    <w:p>
      <w:r>
        <w:t>(one toggle); extensions-in-public is cosmetic.</w:t>
      </w:r>
    </w:p>
    <w:p>
      <w:r>
        <w:rPr>
          <w:b/>
        </w:rPr>
        <w:t>Performance: 437 WARN / 349 INFO — dominated by empty-DB artifacts.</w:t>
      </w:r>
    </w:p>
    <w:p>
      <w:pPr>
        <w:pStyle w:val="ListBullet"/>
      </w:pPr>
      <w:r>
        <w:rPr>
          <w:rFonts w:ascii="Consolas" w:hAnsi="Consolas"/>
          <w:sz w:val="19"/>
        </w:rPr>
        <w:t>unused_index</w:t>
      </w:r>
      <w:r>
        <w:t xml:space="preserve"> ×344 + </w:t>
      </w:r>
      <w:r>
        <w:rPr>
          <w:rFonts w:ascii="Consolas" w:hAnsi="Consolas"/>
          <w:sz w:val="19"/>
        </w:rPr>
        <w:t>multiple_permissive_policies</w:t>
      </w:r>
      <w:r>
        <w:t xml:space="preserve"> ×430 are expected on an empty database; **re-run</w:t>
      </w:r>
    </w:p>
    <w:p>
      <w:r>
        <w:t>advisors after real-data load**, then act on what remains.</w:t>
      </w:r>
    </w:p>
    <w:p>
      <w:pPr>
        <w:pStyle w:val="ListBullet"/>
      </w:pPr>
      <w:r>
        <w:t xml:space="preserve">Quick wins now: </w:t>
      </w:r>
      <w:r>
        <w:rPr>
          <w:rFonts w:ascii="Consolas" w:hAnsi="Consolas"/>
          <w:sz w:val="19"/>
        </w:rPr>
        <w:t>duplicate_index</w:t>
      </w:r>
      <w:r>
        <w:t xml:space="preserve"> ×1, </w:t>
      </w:r>
      <w:r>
        <w:rPr>
          <w:rFonts w:ascii="Consolas" w:hAnsi="Consolas"/>
          <w:sz w:val="19"/>
        </w:rPr>
        <w:t>unindexed_foreign_keys</w:t>
      </w:r>
      <w:r>
        <w:t xml:space="preserve"> ×4, </w:t>
      </w:r>
      <w:r>
        <w:rPr>
          <w:rFonts w:ascii="Consolas" w:hAnsi="Consolas"/>
          <w:sz w:val="19"/>
        </w:rPr>
        <w:t>auth_rls_initplan</w:t>
      </w:r>
      <w:r>
        <w:t xml:space="preserve"> ×6 (wrap</w:t>
      </w:r>
    </w:p>
    <w:p>
      <w:r>
        <w:rPr>
          <w:rFonts w:ascii="Consolas" w:hAnsi="Consolas"/>
          <w:sz w:val="19"/>
        </w:rPr>
        <w:t>auth.uid()</w:t>
      </w:r>
      <w:r>
        <w:t xml:space="preserve"> in a sub-select).</w:t>
      </w:r>
    </w:p>
    <w:p>
      <w:pPr>
        <w:pStyle w:val="Heading2"/>
      </w:pPr>
      <w:r>
        <w:rPr>
          <w:color w:val="1F497D"/>
        </w:rPr>
        <w:t>4. Environment facts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vantora-staging</w:t>
            </w:r>
            <w:r>
              <w:t xml:space="preserve"> / ref </w:t>
            </w:r>
            <w:r>
              <w:rPr>
                <w:rFonts w:ascii="Consolas" w:hAnsi="Consolas"/>
                <w:sz w:val="19"/>
              </w:rPr>
              <w:t>rsjvgehvastmawzwnqcs</w:t>
            </w:r>
          </w:p>
        </w:tc>
      </w:tr>
      <w:tr>
        <w:tc>
          <w:tcPr>
            <w:tcW w:type="dxa" w:w="4320"/>
          </w:tcPr>
          <w:p>
            <w:r>
              <w:t>Region · Postgres</w:t>
            </w:r>
          </w:p>
        </w:tc>
        <w:tc>
          <w:tcPr>
            <w:tcW w:type="dxa" w:w="4320"/>
          </w:tcPr>
          <w:p>
            <w:r>
              <w:t>eu-west-1 · 17.6</w:t>
            </w:r>
          </w:p>
        </w:tc>
      </w:tr>
      <w:tr>
        <w:tc>
          <w:tcPr>
            <w:tcW w:type="dxa" w:w="4320"/>
          </w:tcPr>
          <w:p>
            <w:r>
              <w:t>Tenants today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</w:t>
            </w:r>
            <w:r>
              <w:t xml:space="preserve"> (demo *Nile FMCG*) — to be wiped</w:t>
            </w:r>
          </w:p>
        </w:tc>
      </w:tr>
      <w:tr>
        <w:tc>
          <w:tcPr>
            <w:tcW w:type="dxa" w:w="4320"/>
          </w:tcPr>
          <w:p>
            <w:r>
              <w:t>Identities today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58</w:t>
            </w:r>
            <w:r>
              <w:t xml:space="preserve">, all </w:t>
            </w:r>
            <w:r>
              <w:rPr>
                <w:rFonts w:ascii="Consolas" w:hAnsi="Consolas"/>
                <w:sz w:val="19"/>
              </w:rPr>
              <w:t>@nile-group.test</w:t>
            </w:r>
            <w:r>
              <w:t xml:space="preserve"> — to be wiped</w:t>
            </w:r>
          </w:p>
        </w:tc>
      </w:tr>
      <w:tr>
        <w:tc>
          <w:tcPr>
            <w:tcW w:type="dxa" w:w="4320"/>
          </w:tcPr>
          <w:p>
            <w:r>
              <w:t>Real data</w:t>
            </w:r>
          </w:p>
        </w:tc>
        <w:tc>
          <w:tcPr>
            <w:tcW w:type="dxa" w:w="4320"/>
          </w:tcPr>
          <w:p>
            <w:r>
              <w:t>none yet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25 (</w:t>
            </w:r>
            <w:r>
              <w:rPr>
                <w:rFonts w:ascii="Consolas" w:hAnsi="Consolas"/>
                <w:sz w:val="19"/>
              </w:rPr>
              <w:t>erp_roles</w:t>
            </w:r>
            <w:r>
              <w:t>) = 21 system + 4 refined</w:t>
            </w:r>
          </w:p>
        </w:tc>
      </w:tr>
      <w:tr>
        <w:tc>
          <w:tcPr>
            <w:tcW w:type="dxa" w:w="4320"/>
          </w:tcPr>
          <w:p>
            <w:r>
              <w:t>Global perms</w:t>
            </w:r>
          </w:p>
        </w:tc>
        <w:tc>
          <w:tcPr>
            <w:tcW w:type="dxa" w:w="4320"/>
          </w:tcPr>
          <w:p>
            <w:r>
              <w:t>394 (</w:t>
            </w:r>
            <w:r>
              <w:rPr>
                <w:rFonts w:ascii="Consolas" w:hAnsi="Consolas"/>
                <w:sz w:val="19"/>
              </w:rPr>
              <w:t>erp_role_permissions</w:t>
            </w:r>
            <w:r>
              <w:t>)</w:t>
            </w:r>
          </w:p>
        </w:tc>
      </w:tr>
    </w:tbl>
    <w:p/>
    <w:p>
      <w:pPr>
        <w:pStyle w:val="Heading2"/>
      </w:pPr>
      <w:r>
        <w:rPr>
          <w:color w:val="1F497D"/>
        </w:rPr>
        <w:t>5. Go-live work breakdown (operational)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Artifact</w:t>
            </w:r>
          </w:p>
        </w:tc>
      </w:tr>
      <w:tr>
        <w:tc>
          <w:tcPr>
            <w:tcW w:type="dxa" w:w="2880"/>
          </w:tcPr>
          <w:p>
            <w:r>
              <w:t>0. Enable + verify PITR</w:t>
            </w:r>
          </w:p>
        </w:tc>
        <w:tc>
          <w:tcPr>
            <w:tcW w:type="dxa" w:w="2880"/>
          </w:tcPr>
          <w:p>
            <w:r>
              <w:t>Platform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GOLIVE-STEP1-CLEANUP-REVIEW.md</w:t>
            </w:r>
            <w:r>
              <w:t xml:space="preserve"> §1–2</w:t>
            </w:r>
          </w:p>
        </w:tc>
      </w:tr>
      <w:tr>
        <w:tc>
          <w:tcPr>
            <w:tcW w:type="dxa" w:w="2880"/>
          </w:tcPr>
          <w:p>
            <w:r>
              <w:t>1. Demo cleanup (data-only)</w:t>
            </w:r>
          </w:p>
        </w:tc>
        <w:tc>
          <w:tcPr>
            <w:tcW w:type="dxa" w:w="2880"/>
          </w:tcPr>
          <w:p>
            <w:r>
              <w:t>Platform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supabase/pilot/golive-demo-cleanup.sql</w:t>
            </w:r>
            <w:r>
              <w:t xml:space="preserve"> (guarded, dry-run-safe)</w:t>
            </w:r>
          </w:p>
        </w:tc>
      </w:tr>
      <w:tr>
        <w:tc>
          <w:tcPr>
            <w:tcW w:type="dxa" w:w="2880"/>
          </w:tcPr>
          <w:p>
            <w:r>
              <w:t>2. Master-data import</w:t>
            </w:r>
          </w:p>
        </w:tc>
        <w:tc>
          <w:tcPr>
            <w:tcW w:type="dxa" w:w="2880"/>
          </w:tcPr>
          <w:p>
            <w:r>
              <w:t>Data Admin + distributor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docs/onboarding/templates/*.csv</w:t>
            </w:r>
            <w:r>
              <w:t xml:space="preserve"> + README</w:t>
            </w:r>
          </w:p>
        </w:tc>
      </w:tr>
      <w:tr>
        <w:tc>
          <w:tcPr>
            <w:tcW w:type="dxa" w:w="2880"/>
          </w:tcPr>
          <w:p>
            <w:r>
              <w:t>3. User invites + refined roles</w:t>
            </w:r>
          </w:p>
        </w:tc>
        <w:tc>
          <w:tcPr>
            <w:tcW w:type="dxa" w:w="2880"/>
          </w:tcPr>
          <w:p>
            <w:r>
              <w:t>Platform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07-users.csv</w:t>
            </w:r>
            <w:r>
              <w:t>, User Onboarding Guide</w:t>
            </w:r>
          </w:p>
        </w:tc>
      </w:tr>
      <w:tr>
        <w:tc>
          <w:tcPr>
            <w:tcW w:type="dxa" w:w="2880"/>
          </w:tcPr>
          <w:p>
            <w:r>
              <w:t>4. Public frontend</w:t>
            </w:r>
          </w:p>
        </w:tc>
        <w:tc>
          <w:tcPr>
            <w:tcW w:type="dxa" w:w="2880"/>
          </w:tcPr>
          <w:p>
            <w:r>
              <w:t>Platform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GOLIVE-VANTORA-STAGING-AS-PROD.md</w:t>
            </w:r>
            <w:r>
              <w:t xml:space="preserve"> §4</w:t>
            </w:r>
          </w:p>
        </w:tc>
      </w:tr>
      <w:tr>
        <w:tc>
          <w:tcPr>
            <w:tcW w:type="dxa" w:w="2880"/>
          </w:tcPr>
          <w:p>
            <w:r>
              <w:t>5. Sign-off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GO-LIVE-CHECKLIST.md</w:t>
            </w:r>
          </w:p>
        </w:tc>
      </w:tr>
    </w:tbl>
    <w:p/>
    <w:p>
      <w:pPr>
        <w:pStyle w:val="Heading2"/>
      </w:pPr>
      <w:r>
        <w:rPr>
          <w:color w:val="1F497D"/>
        </w:rPr>
        <w:t>6. 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Cleanup removes more than intended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 xml:space="preserve">Script </w:t>
            </w:r>
            <w:r>
              <w:rPr>
                <w:b/>
              </w:rPr>
              <w:t>refuses</w:t>
            </w:r>
            <w:r>
              <w:t xml:space="preserve"> unless exactly 1 demo company + 0 real users; </w:t>
            </w:r>
            <w:r>
              <w:rPr>
                <w:b/>
              </w:rPr>
              <w:t>dry-run by default</w:t>
            </w:r>
            <w:r>
              <w:t>; runs in one transaction with post-delete verification</w:t>
            </w:r>
          </w:p>
        </w:tc>
      </w:tr>
      <w:tr>
        <w:tc>
          <w:tcPr>
            <w:tcW w:type="dxa" w:w="2880"/>
          </w:tcPr>
          <w:p>
            <w:r>
              <w:t>No restore point if cleanup goes wrong</w:t>
            </w:r>
          </w:p>
        </w:tc>
        <w:tc>
          <w:tcPr>
            <w:tcW w:type="dxa" w:w="2880"/>
          </w:tcPr>
          <w:p>
            <w:r>
              <w:t>Med (if skipped)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Hard gate</w:t>
            </w:r>
            <w:r>
              <w:t>: PITR verified first; plus seed-rebuild fallback</w:t>
            </w:r>
          </w:p>
        </w:tc>
      </w:tr>
      <w:tr>
        <w:tc>
          <w:tcPr>
            <w:tcW w:type="dxa" w:w="2880"/>
          </w:tcPr>
          <w:p>
            <w:r>
              <w:t>Invite emails don't deliver</w:t>
            </w:r>
          </w:p>
        </w:tc>
        <w:tc>
          <w:tcPr>
            <w:tcW w:type="dxa" w:w="2880"/>
          </w:tcPr>
          <w:p>
            <w:r>
              <w:t>Med</w:t>
            </w:r>
          </w:p>
        </w:tc>
        <w:tc>
          <w:tcPr>
            <w:tcW w:type="dxa" w:w="2880"/>
          </w:tcPr>
          <w:p>
            <w:r>
              <w:t xml:space="preserve">Configure SMTP + Auth Site URL </w:t>
            </w:r>
            <w:r>
              <w:rPr>
                <w:b/>
              </w:rPr>
              <w:t>before</w:t>
            </w:r>
            <w:r>
              <w:t xml:space="preserve"> inviting</w:t>
            </w:r>
          </w:p>
        </w:tc>
      </w:tr>
      <w:tr>
        <w:tc>
          <w:tcPr>
            <w:tcW w:type="dxa" w:w="2880"/>
          </w:tcPr>
          <w:p>
            <w:r>
              <w:t>Frontend points at wrong project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Set explicit Vercel prod env vars (don't rely on code fallback); smoke-test</w:t>
            </w:r>
          </w:p>
        </w:tc>
      </w:tr>
      <w:tr>
        <w:tc>
          <w:tcPr>
            <w:tcW w:type="dxa" w:w="2880"/>
          </w:tcPr>
          <w:p>
            <w:r>
              <w:t>Perf lints on real data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Re-run advisors post-import; address remaining indexes/policies</w:t>
            </w:r>
          </w:p>
        </w:tc>
      </w:tr>
    </w:tbl>
    <w:p/>
    <w:p>
      <w:pPr>
        <w:pStyle w:val="Heading2"/>
      </w:pPr>
      <w:r>
        <w:rPr>
          <w:color w:val="1F497D"/>
        </w:rPr>
        <w:t>7. Sign-off gate</w:t>
      </w:r>
    </w:p>
    <w:p>
      <w:r>
        <w:t xml:space="preserve">Production cutover proceeds </w:t>
      </w:r>
      <w:r>
        <w:rPr>
          <w:b/>
        </w:rPr>
        <w:t>only after</w:t>
      </w:r>
      <w:r>
        <w:t>: (a) PITR/backup restore point verified, (b) cleanup dry-run</w:t>
      </w:r>
    </w:p>
    <w:p>
      <w:r>
        <w:t xml:space="preserve">reviewed, (c) this report + the Go-Live Checklist approved. Until then: </w:t>
      </w:r>
      <w:r>
        <w:rPr>
          <w:b/>
        </w:rPr>
        <w:t>review-only, no mutation.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