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FMCG Sales-Entry Point Review</w:t>
      </w:r>
    </w:p>
    <w:p>
      <w:pPr>
        <w:jc w:val="center"/>
      </w:pPr>
      <w:r>
        <w:rPr>
          <w:i/>
          <w:sz w:val="22"/>
        </w:rPr>
        <w:t>Inventory · classification · recommendations · 2026-06-14</w:t>
      </w:r>
    </w:p>
    <w:p>
      <w:r>
        <w:rPr>
          <w:b w:val="0"/>
          <w:i/>
        </w:rPr>
        <w:t>Review only. Nothing removed or hidden. Establishes the Van Sales workspace as the canonical FMCG salesman experience and a safe, reversible path to one obvious selling flow: Customer → Statement → Collect → Sell → Invoice → Print.</w:t>
      </w:r>
    </w:p>
    <w:p>
      <w:pPr>
        <w:pStyle w:val="Heading1"/>
      </w:pPr>
      <w:r>
        <w:rPr>
          <w:color w:val="1F497D"/>
        </w:rPr>
        <w:t>1. Inventory of all sales-entry points (classified)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Gating (perm · module · flag)</w:t>
            </w:r>
          </w:p>
        </w:tc>
      </w:tr>
      <w:tr>
        <w:tc>
          <w:tcPr>
            <w:tcW w:type="dxa" w:w="2880"/>
          </w:tcPr>
          <w:p>
            <w:r>
              <w:t>/field/van-sales (+ sell/collect/return/statement/…)</w:t>
            </w:r>
          </w:p>
        </w:tc>
        <w:tc>
          <w:tcPr>
            <w:tcW w:type="dxa" w:w="2880"/>
          </w:tcPr>
          <w:p>
            <w:r>
              <w:t>Field Sales (Van Sales) — CANONICAL</w:t>
            </w:r>
          </w:p>
        </w:tc>
        <w:tc>
          <w:tcPr>
            <w:tcW w:type="dxa" w:w="2880"/>
          </w:tcPr>
          <w:p>
            <w:r>
              <w:t>field.sales · van_sales · Van Sales active</w:t>
            </w:r>
          </w:p>
        </w:tc>
      </w:tr>
      <w:tr>
        <w:tc>
          <w:tcPr>
            <w:tcW w:type="dxa" w:w="2880"/>
          </w:tcPr>
          <w:p>
            <w:r>
              <w:t>/sales/invoices</w:t>
            </w:r>
          </w:p>
        </w:tc>
        <w:tc>
          <w:tcPr>
            <w:tcW w:type="dxa" w:w="2880"/>
          </w:tcPr>
          <w:p>
            <w:r>
              <w:t>Back Office Invoicing</w:t>
            </w:r>
          </w:p>
        </w:tc>
        <w:tc>
          <w:tcPr>
            <w:tcW w:type="dxa" w:w="2880"/>
          </w:tcPr>
          <w:p>
            <w:r>
              <w:t>sales.sell | sales.collect · sales</w:t>
            </w:r>
          </w:p>
        </w:tc>
      </w:tr>
      <w:tr>
        <w:tc>
          <w:tcPr>
            <w:tcW w:type="dxa" w:w="2880"/>
          </w:tcPr>
          <w:p>
            <w:r>
              <w:t>/sales/orders</w:t>
            </w:r>
          </w:p>
        </w:tc>
        <w:tc>
          <w:tcPr>
            <w:tcW w:type="dxa" w:w="2880"/>
          </w:tcPr>
          <w:p>
            <w:r>
              <w:t>Back Office Invoicing</w:t>
            </w:r>
          </w:p>
        </w:tc>
        <w:tc>
          <w:tcPr>
            <w:tcW w:type="dxa" w:w="2880"/>
          </w:tcPr>
          <w:p>
            <w:r>
              <w:t>sales.sell · sales_orders</w:t>
            </w:r>
          </w:p>
        </w:tc>
      </w:tr>
      <w:tr>
        <w:tc>
          <w:tcPr>
            <w:tcW w:type="dxa" w:w="2880"/>
          </w:tcPr>
          <w:p>
            <w:r>
              <w:t>/sales/returns</w:t>
            </w:r>
          </w:p>
        </w:tc>
        <w:tc>
          <w:tcPr>
            <w:tcW w:type="dxa" w:w="2880"/>
          </w:tcPr>
          <w:p>
            <w:r>
              <w:t>Back Office Invoicing</w:t>
            </w:r>
          </w:p>
        </w:tc>
        <w:tc>
          <w:tcPr>
            <w:tcW w:type="dxa" w:w="2880"/>
          </w:tcPr>
          <w:p>
            <w:r>
              <w:t>sales.return · returns</w:t>
            </w:r>
          </w:p>
        </w:tc>
      </w:tr>
      <w:tr>
        <w:tc>
          <w:tcPr>
            <w:tcW w:type="dxa" w:w="2880"/>
          </w:tcPr>
          <w:p>
            <w:r>
              <w:t>/collections</w:t>
            </w:r>
          </w:p>
        </w:tc>
        <w:tc>
          <w:tcPr>
            <w:tcW w:type="dxa" w:w="2880"/>
          </w:tcPr>
          <w:p>
            <w:r>
              <w:t>Back Office Invoicing</w:t>
            </w:r>
          </w:p>
        </w:tc>
        <w:tc>
          <w:tcPr>
            <w:tcW w:type="dxa" w:w="2880"/>
          </w:tcPr>
          <w:p>
            <w:r>
              <w:t>sales.collect · sales</w:t>
            </w:r>
          </w:p>
        </w:tc>
      </w:tr>
      <w:tr>
        <w:tc>
          <w:tcPr>
            <w:tcW w:type="dxa" w:w="2880"/>
          </w:tcPr>
          <w:p>
            <w:r>
              <w:t>/customers/[id] (statement)</w:t>
            </w:r>
          </w:p>
        </w:tc>
        <w:tc>
          <w:tcPr>
            <w:tcW w:type="dxa" w:w="2880"/>
          </w:tcPr>
          <w:p>
            <w:r>
              <w:t>Back Office Invoicing</w:t>
            </w:r>
          </w:p>
        </w:tc>
        <w:tc>
          <w:tcPr>
            <w:tcW w:type="dxa" w:w="2880"/>
          </w:tcPr>
          <w:p>
            <w:r>
              <w:t>customers nav · RLS</w:t>
            </w:r>
          </w:p>
        </w:tc>
      </w:tr>
      <w:tr>
        <w:tc>
          <w:tcPr>
            <w:tcW w:type="dxa" w:w="2880"/>
          </w:tcPr>
          <w:p>
            <w:r>
              <w:t>/accounting/aging · /sales/settlement · /distribution/credit-requests</w:t>
            </w:r>
          </w:p>
        </w:tc>
        <w:tc>
          <w:tcPr>
            <w:tcW w:type="dxa" w:w="2880"/>
          </w:tcPr>
          <w:p>
            <w:r>
              <w:t>Back Office Invoicing</w:t>
            </w:r>
          </w:p>
        </w:tc>
        <w:tc>
          <w:tcPr>
            <w:tcW w:type="dxa" w:w="2880"/>
          </w:tcPr>
          <w:p>
            <w:r>
              <w:t>accounting / field.sales / credit.request.*</w:t>
            </w:r>
          </w:p>
        </w:tc>
      </w:tr>
      <w:tr>
        <w:tc>
          <w:tcPr>
            <w:tcW w:type="dxa" w:w="2880"/>
          </w:tcPr>
          <w:p>
            <w:r>
              <w:t>/sales/pos (Quick Sale)</w:t>
            </w:r>
          </w:p>
        </w:tc>
        <w:tc>
          <w:tcPr>
            <w:tcW w:type="dxa" w:w="2880"/>
          </w:tcPr>
          <w:p>
            <w:r>
              <w:t>POS / Quick Sale</w:t>
            </w:r>
          </w:p>
        </w:tc>
        <w:tc>
          <w:tcPr>
            <w:tcW w:type="dxa" w:w="2880"/>
          </w:tcPr>
          <w:p>
            <w:r>
              <w:t>sales.sell · pos</w:t>
            </w:r>
          </w:p>
        </w:tc>
      </w:tr>
      <w:tr>
        <w:tc>
          <w:tcPr>
            <w:tcW w:type="dxa" w:w="2880"/>
          </w:tcPr>
          <w:p>
            <w:r>
              <w:t>/pharmacy/pos · /market/pos · /fashion/sell</w:t>
            </w:r>
          </w:p>
        </w:tc>
        <w:tc>
          <w:tcPr>
            <w:tcW w:type="dxa" w:w="2880"/>
          </w:tcPr>
          <w:p>
            <w:r>
              <w:t>POS / Quick Sale (vertical)</w:t>
            </w:r>
          </w:p>
        </w:tc>
        <w:tc>
          <w:tcPr>
            <w:tcW w:type="dxa" w:w="2880"/>
          </w:tcPr>
          <w:p>
            <w:r>
              <w:t>vertical perm · vertical module</w:t>
            </w:r>
          </w:p>
        </w:tc>
      </w:tr>
      <w:tr>
        <w:tc>
          <w:tcPr>
            <w:tcW w:type="dxa" w:w="2880"/>
          </w:tcPr>
          <w:p>
            <w:r>
              <w:t>/wholesale/order</w:t>
            </w:r>
          </w:p>
        </w:tc>
        <w:tc>
          <w:tcPr>
            <w:tcW w:type="dxa" w:w="2880"/>
          </w:tcPr>
          <w:p>
            <w:r>
              <w:t>Back Office (vertical)</w:t>
            </w:r>
          </w:p>
        </w:tc>
        <w:tc>
          <w:tcPr>
            <w:tcW w:type="dxa" w:w="2880"/>
          </w:tcPr>
          <w:p>
            <w:r>
              <w:t>wholesale.pricing · wholesale</w:t>
            </w:r>
          </w:p>
        </w:tc>
      </w:tr>
      <w:tr>
        <w:tc>
          <w:tcPr>
            <w:tcW w:type="dxa" w:w="2880"/>
          </w:tcPr>
          <w:p>
            <w:r>
              <w:t>/restaurant/orders · /salon/tickets · /laundry/orders · /clinic/visits</w:t>
            </w:r>
          </w:p>
        </w:tc>
        <w:tc>
          <w:tcPr>
            <w:tcW w:type="dxa" w:w="2880"/>
          </w:tcPr>
          <w:p>
            <w:r>
              <w:t>Vertical POS / Order</w:t>
            </w:r>
          </w:p>
        </w:tc>
        <w:tc>
          <w:tcPr>
            <w:tcW w:type="dxa" w:w="2880"/>
          </w:tcPr>
          <w:p>
            <w:r>
              <w:t>vertical perms · vertical module</w:t>
            </w:r>
          </w:p>
        </w:tc>
      </w:tr>
      <w:tr>
        <w:tc>
          <w:tcPr>
            <w:tcW w:type="dxa" w:w="2880"/>
          </w:tcPr>
          <w:p>
            <w:r>
              <w:t>/print/receipt · /invoices · /statement · /collection · /credit-note</w:t>
            </w:r>
          </w:p>
        </w:tc>
        <w:tc>
          <w:tcPr>
            <w:tcW w:type="dxa" w:w="2880"/>
          </w:tcPr>
          <w:p>
            <w:r>
              <w:t>Shared output (all flows)</w:t>
            </w:r>
          </w:p>
        </w:tc>
        <w:tc>
          <w:tcPr>
            <w:tcW w:type="dxa" w:w="2880"/>
          </w:tcPr>
          <w:p>
            <w:r>
              <w:t>auth · RLS</w:t>
            </w:r>
          </w:p>
        </w:tc>
      </w:tr>
    </w:tbl>
    <w:p>
      <w:r>
        <w:rPr>
          <w:b/>
          <w:i w:val="0"/>
        </w:rPr>
        <w:t>Legacy / Duplicate (for an FMCG van-sales tenant ONLY): /sales/invoices, /sales/pos, /sales/orders, /collections, /customers/[id] are not legacy globally (back office + other verticals need them) but are redundant for the FMCG salesman — the Van Sales workspace already covers sell, collect, statement, invoice and print. Hide by role for field reps; do not delete.</w:t>
      </w:r>
    </w:p>
    <w:p>
      <w:pPr>
        <w:pStyle w:val="Heading1"/>
      </w:pPr>
      <w:r>
        <w:rPr>
          <w:color w:val="1F497D"/>
        </w:rPr>
        <w:t>2. Duplicated workflows (FMCG salesman)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Canonical (Van Sales)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Duplicate(s) reachable today</w:t>
            </w:r>
          </w:p>
        </w:tc>
      </w:tr>
      <w:tr>
        <w:tc>
          <w:tcPr>
            <w:tcW w:type="dxa" w:w="2880"/>
          </w:tcPr>
          <w:p>
            <w:r>
              <w:t>Create a sale</w:t>
            </w:r>
          </w:p>
        </w:tc>
        <w:tc>
          <w:tcPr>
            <w:tcW w:type="dxa" w:w="2880"/>
          </w:tcPr>
          <w:p>
            <w:r>
              <w:t>/field/van-sales/sell</w:t>
            </w:r>
          </w:p>
        </w:tc>
        <w:tc>
          <w:tcPr>
            <w:tcW w:type="dxa" w:w="2880"/>
          </w:tcPr>
          <w:p>
            <w:r>
              <w:t>/sales/invoices, /sales/pos, /sales/orders</w:t>
            </w:r>
          </w:p>
        </w:tc>
      </w:tr>
      <w:tr>
        <w:tc>
          <w:tcPr>
            <w:tcW w:type="dxa" w:w="2880"/>
          </w:tcPr>
          <w:p>
            <w:r>
              <w:t>Collect cash</w:t>
            </w:r>
          </w:p>
        </w:tc>
        <w:tc>
          <w:tcPr>
            <w:tcW w:type="dxa" w:w="2880"/>
          </w:tcPr>
          <w:p>
            <w:r>
              <w:t>/field/van-sales/collect</w:t>
            </w:r>
          </w:p>
        </w:tc>
        <w:tc>
          <w:tcPr>
            <w:tcW w:type="dxa" w:w="2880"/>
          </w:tcPr>
          <w:p>
            <w:r>
              <w:t>/collections</w:t>
            </w:r>
          </w:p>
        </w:tc>
      </w:tr>
      <w:tr>
        <w:tc>
          <w:tcPr>
            <w:tcW w:type="dxa" w:w="2880"/>
          </w:tcPr>
          <w:p>
            <w:r>
              <w:t>Customer statement</w:t>
            </w:r>
          </w:p>
        </w:tc>
        <w:tc>
          <w:tcPr>
            <w:tcW w:type="dxa" w:w="2880"/>
          </w:tcPr>
          <w:p>
            <w:r>
              <w:t>/field/van-sales/statement/[id]</w:t>
            </w:r>
          </w:p>
        </w:tc>
        <w:tc>
          <w:tcPr>
            <w:tcW w:type="dxa" w:w="2880"/>
          </w:tcPr>
          <w:p>
            <w:r>
              <w:t>/customers/[id]</w:t>
            </w:r>
          </w:p>
        </w:tc>
      </w:tr>
      <w:tr>
        <w:tc>
          <w:tcPr>
            <w:tcW w:type="dxa" w:w="2880"/>
          </w:tcPr>
          <w:p>
            <w:r>
              <w:t>Returns</w:t>
            </w:r>
          </w:p>
        </w:tc>
        <w:tc>
          <w:tcPr>
            <w:tcW w:type="dxa" w:w="2880"/>
          </w:tcPr>
          <w:p>
            <w:r>
              <w:t>/field/van-sales/return</w:t>
            </w:r>
          </w:p>
        </w:tc>
        <w:tc>
          <w:tcPr>
            <w:tcW w:type="dxa" w:w="2880"/>
          </w:tcPr>
          <w:p>
            <w:r>
              <w:t>/sales/returns</w:t>
            </w:r>
          </w:p>
        </w:tc>
      </w:tr>
    </w:tbl>
    <w:p>
      <w:r>
        <w:rPr>
          <w:b/>
          <w:i w:val="0"/>
        </w:rPr>
        <w:t>Root cause (verified on the pilot): the salesman role holds sales.sell AND customers.manage (role-default and company-override). Those light up the whole back-office Sales section AND Customers master-data in the sidebar — three ways to sell plus a master-data editor on top of the Van Sales workspace. This also contradicts the guardrail "do not give the salesman master-data permissions."</w:t>
      </w:r>
    </w:p>
    <w:p>
      <w:pPr>
        <w:pStyle w:val="Heading1"/>
      </w:pPr>
      <w:r>
        <w:rPr>
          <w:color w:val="1F497D"/>
        </w:rPr>
        <w:t>3. Redundant menu entries (sidebar) for the FMCG salesman</w:t>
      </w:r>
    </w:p>
    <w:p>
      <w:pPr>
        <w:pStyle w:val="ListBullet"/>
      </w:pPr>
      <w:r>
        <w:t>Sales section: Quick Sale, Sales Orders, Invoices, Collections, Sales Returns.</w:t>
      </w:r>
    </w:p>
    <w:p>
      <w:pPr>
        <w:pStyle w:val="ListBullet"/>
      </w:pPr>
      <w:r>
        <w:t>Customers master-data (create/edit) section.</w:t>
      </w:r>
    </w:p>
    <w:p>
      <w:pPr>
        <w:pStyle w:val="ListBullet"/>
      </w:pPr>
      <w:r>
        <w:t>The bottom-nav already collapses Sell → Van-Sell (good); the sidebar / command palette still expose the back-office equivalents.</w:t>
      </w:r>
    </w:p>
    <w:p>
      <w:pPr>
        <w:pStyle w:val="Heading1"/>
      </w:pPr>
      <w:r>
        <w:rPr>
          <w:color w:val="1F497D"/>
        </w:rPr>
        <w:t>4. What can be hidden — by role, entitlement, or flag (all reversible)</w:t>
      </w:r>
    </w:p>
    <w:p>
      <w:pPr>
        <w:pStyle w:val="ListNumber"/>
      </w:pPr>
      <w:r>
        <w:t>By role permission (recommended): tighten the pilot salesman to field.sales + sales.collect (+ customers.view for statements); remove sales.sell + customers.manage. Effect: back-office Sales + Customers-master sidebar sections disappear for the rep; Van Sales workspace + Sell bottom-tab (gated by field.sales) remain; selling still works. Reversible; company-override scope — other tenants unaffected.</w:t>
      </w:r>
    </w:p>
    <w:p>
      <w:pPr>
        <w:pStyle w:val="ListNumber"/>
      </w:pPr>
      <w:r>
        <w:t>By entitlement (module): if unused, disable pos + sales_orders modules for the tenant → Quick Sale + Sales Orders nav vanish company-wide. Keep sales (office invoices/collections).</w:t>
      </w:r>
    </w:p>
    <w:p>
      <w:pPr>
        <w:pStyle w:val="ListNumber"/>
      </w:pPr>
      <w:r>
        <w:t>By feature flag / nav rule (optional, broader): a tenant flag (e.g. fmcg.field_primary) that suppresses the generic Sales sidebar section for field roles on van_sales tenants. Most product-ized but largest change; option #1 meets the pilot goal today with no code.</w:t>
      </w:r>
    </w:p>
    <w:p>
      <w:r>
        <w:rPr>
          <w:b w:val="0"/>
          <w:i w:val="0"/>
        </w:rPr>
        <w:t>Office roles keep everything: Accountant / Company Admin retain /sales/*, /collections, /customers, /accounting/aging — Back Office Invoicing is a legitimate separate experience for them, not a duplicate.</w:t>
      </w:r>
    </w:p>
    <w:p>
      <w:pPr>
        <w:pStyle w:val="Heading1"/>
      </w:pPr>
      <w:r>
        <w:rPr>
          <w:color w:val="1F497D"/>
        </w:rPr>
        <w:t>5. Recommended FMCG salesman role model (keep / remove)</w:t>
      </w:r>
    </w:p>
    <w:p>
      <w:r>
        <w:rPr>
          <w:b w:val="0"/>
          <w:i w:val="0"/>
        </w:rPr>
        <w:t>The pilot salesman holds 18 permissions today. Recommended posture so the rep operates exclusively through the Van Sales workspace:</w:t>
      </w:r>
    </w:p>
    <w:p>
      <w:r>
        <w:rPr>
          <w:b/>
          <w:i w:val="0"/>
        </w:rPr>
        <w:t>5.1 KEEP — field workspace (15):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Permission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Why it stays</w:t>
            </w:r>
          </w:p>
        </w:tc>
      </w:tr>
      <w:tr>
        <w:tc>
          <w:tcPr>
            <w:tcW w:type="dxa" w:w="4320"/>
          </w:tcPr>
          <w:p>
            <w:r>
              <w:t>field.sales</w:t>
            </w:r>
          </w:p>
        </w:tc>
        <w:tc>
          <w:tcPr>
            <w:tcW w:type="dxa" w:w="4320"/>
          </w:tcPr>
          <w:p>
            <w:r>
              <w:t>Van-Sell (core selling path)</w:t>
            </w:r>
          </w:p>
        </w:tc>
      </w:tr>
      <w:tr>
        <w:tc>
          <w:tcPr>
            <w:tcW w:type="dxa" w:w="4320"/>
          </w:tcPr>
          <w:p>
            <w:r>
              <w:t>sales.collect</w:t>
            </w:r>
          </w:p>
        </w:tc>
        <w:tc>
          <w:tcPr>
            <w:tcW w:type="dxa" w:w="4320"/>
          </w:tcPr>
          <w:p>
            <w:r>
              <w:t>Collections + in-sell payment</w:t>
            </w:r>
          </w:p>
        </w:tc>
      </w:tr>
      <w:tr>
        <w:tc>
          <w:tcPr>
            <w:tcW w:type="dxa" w:w="4320"/>
          </w:tcPr>
          <w:p>
            <w:r>
              <w:t>day.close</w:t>
            </w:r>
          </w:p>
        </w:tc>
        <w:tc>
          <w:tcPr>
            <w:tcW w:type="dxa" w:w="4320"/>
          </w:tcPr>
          <w:p>
            <w:r>
              <w:t>Close the field day</w:t>
            </w:r>
          </w:p>
        </w:tc>
      </w:tr>
      <w:tr>
        <w:tc>
          <w:tcPr>
            <w:tcW w:type="dxa" w:w="4320"/>
          </w:tcPr>
          <w:p>
            <w:r>
              <w:t>reconciliation.view</w:t>
            </w:r>
          </w:p>
        </w:tc>
        <w:tc>
          <w:tcPr>
            <w:tcW w:type="dxa" w:w="4320"/>
          </w:tcPr>
          <w:p>
            <w:r>
              <w:t>Van reconciliation / settlement</w:t>
            </w:r>
          </w:p>
        </w:tc>
      </w:tr>
      <w:tr>
        <w:tc>
          <w:tcPr>
            <w:tcW w:type="dxa" w:w="4320"/>
          </w:tcPr>
          <w:p>
            <w:r>
              <w:t>stock_request.create</w:t>
            </w:r>
          </w:p>
        </w:tc>
        <w:tc>
          <w:tcPr>
            <w:tcW w:type="dxa" w:w="4320"/>
          </w:tcPr>
          <w:p>
            <w:r>
              <w:t>Request a van load</w:t>
            </w:r>
          </w:p>
        </w:tc>
      </w:tr>
      <w:tr>
        <w:tc>
          <w:tcPr>
            <w:tcW w:type="dxa" w:w="4320"/>
          </w:tcPr>
          <w:p>
            <w:r>
              <w:t>stock.transfer</w:t>
            </w:r>
          </w:p>
        </w:tc>
        <w:tc>
          <w:tcPr>
            <w:tcW w:type="dxa" w:w="4320"/>
          </w:tcPr>
          <w:p>
            <w:r>
              <w:t>Van load / return transfers</w:t>
            </w:r>
          </w:p>
        </w:tc>
      </w:tr>
      <w:tr>
        <w:tc>
          <w:tcPr>
            <w:tcW w:type="dxa" w:w="4320"/>
          </w:tcPr>
          <w:p>
            <w:r>
              <w:t>stock.view, inventory.view</w:t>
            </w:r>
          </w:p>
        </w:tc>
        <w:tc>
          <w:tcPr>
            <w:tcW w:type="dxa" w:w="4320"/>
          </w:tcPr>
          <w:p>
            <w:r>
              <w:t>See van stock (read-only)</w:t>
            </w:r>
          </w:p>
        </w:tc>
      </w:tr>
      <w:tr>
        <w:tc>
          <w:tcPr>
            <w:tcW w:type="dxa" w:w="4320"/>
          </w:tcPr>
          <w:p>
            <w:r>
              <w:t>product.search</w:t>
            </w:r>
          </w:p>
        </w:tc>
        <w:tc>
          <w:tcPr>
            <w:tcW w:type="dxa" w:w="4320"/>
          </w:tcPr>
          <w:p>
            <w:r>
              <w:t>Find products while selling</w:t>
            </w:r>
          </w:p>
        </w:tc>
      </w:tr>
      <w:tr>
        <w:tc>
          <w:tcPr>
            <w:tcW w:type="dxa" w:w="4320"/>
          </w:tcPr>
          <w:p>
            <w:r>
              <w:t>pricing.view</w:t>
            </w:r>
          </w:p>
        </w:tc>
        <w:tc>
          <w:tcPr>
            <w:tcW w:type="dxa" w:w="4320"/>
          </w:tcPr>
          <w:p>
            <w:r>
              <w:t>See prices (read-only)</w:t>
            </w:r>
          </w:p>
        </w:tc>
      </w:tr>
      <w:tr>
        <w:tc>
          <w:tcPr>
            <w:tcW w:type="dxa" w:w="4320"/>
          </w:tcPr>
          <w:p>
            <w:r>
              <w:t>target.view, report.aggregate.view</w:t>
            </w:r>
          </w:p>
        </w:tc>
        <w:tc>
          <w:tcPr>
            <w:tcW w:type="dxa" w:w="4320"/>
          </w:tcPr>
          <w:p>
            <w:r>
              <w:t>Own targets &amp; performance (read-only)</w:t>
            </w:r>
          </w:p>
        </w:tc>
      </w:tr>
      <w:tr>
        <w:tc>
          <w:tcPr>
            <w:tcW w:type="dxa" w:w="4320"/>
          </w:tcPr>
          <w:p>
            <w:r>
              <w:t>field.attach_media</w:t>
            </w:r>
          </w:p>
        </w:tc>
        <w:tc>
          <w:tcPr>
            <w:tcW w:type="dxa" w:w="4320"/>
          </w:tcPr>
          <w:p>
            <w:r>
              <w:t>Visit photos</w:t>
            </w:r>
          </w:p>
        </w:tc>
      </w:tr>
      <w:tr>
        <w:tc>
          <w:tcPr>
            <w:tcW w:type="dxa" w:w="4320"/>
          </w:tcPr>
          <w:p>
            <w:r>
              <w:t>change_requests.create</w:t>
            </w:r>
          </w:p>
        </w:tc>
        <w:tc>
          <w:tcPr>
            <w:tcW w:type="dxa" w:w="4320"/>
          </w:tcPr>
          <w:p>
            <w:r>
              <w:t>Request a customer GPS/data change → approval</w:t>
            </w:r>
          </w:p>
        </w:tc>
      </w:tr>
      <w:tr>
        <w:tc>
          <w:tcPr>
            <w:tcW w:type="dxa" w:w="4320"/>
          </w:tcPr>
          <w:p>
            <w:r>
              <w:t>credit.request.create</w:t>
            </w:r>
          </w:p>
        </w:tc>
        <w:tc>
          <w:tcPr>
            <w:tcW w:type="dxa" w:w="4320"/>
          </w:tcPr>
          <w:p>
            <w:r>
              <w:t>Request a credit-limit change → approval</w:t>
            </w:r>
          </w:p>
        </w:tc>
      </w:tr>
    </w:tbl>
    <w:p>
      <w:r>
        <w:rPr>
          <w:b w:val="0"/>
          <w:i/>
        </w:rPr>
        <w:t>The rep changes nothing in master data directly — change_requests.* and credit.request.* only submit requests that a supervisor/admin approves.</w:t>
      </w:r>
    </w:p>
    <w:p>
      <w:r>
        <w:rPr>
          <w:b/>
          <w:i w:val="0"/>
        </w:rPr>
        <w:t>5.2 REMOVE — back-office / master-data (3):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Permission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Effect of removing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Breaks field flow?</w:t>
            </w:r>
          </w:p>
        </w:tc>
      </w:tr>
      <w:tr>
        <w:tc>
          <w:tcPr>
            <w:tcW w:type="dxa" w:w="2880"/>
          </w:tcPr>
          <w:p>
            <w:r>
              <w:t>sales.sell</w:t>
            </w:r>
          </w:p>
        </w:tc>
        <w:tc>
          <w:tcPr>
            <w:tcW w:type="dxa" w:w="2880"/>
          </w:tcPr>
          <w:p>
            <w:r>
              <w:t>Hides Quick Sale, Invoices, Sales Orders + the generic Sell fallback tab</w:t>
            </w:r>
          </w:p>
        </w:tc>
        <w:tc>
          <w:tcPr>
            <w:tcW w:type="dxa" w:w="2880"/>
          </w:tcPr>
          <w:p>
            <w:r>
              <w:t>No — Van-Sell uses field.sales</w:t>
            </w:r>
          </w:p>
        </w:tc>
      </w:tr>
      <w:tr>
        <w:tc>
          <w:tcPr>
            <w:tcW w:type="dxa" w:w="2880"/>
          </w:tcPr>
          <w:p>
            <w:r>
              <w:t>customers.manage</w:t>
            </w:r>
          </w:p>
        </w:tc>
        <w:tc>
          <w:tcPr>
            <w:tcW w:type="dxa" w:w="2880"/>
          </w:tcPr>
          <w:p>
            <w:r>
              <w:t>Hides Customers master-data (create/edit) + generic Customers tab</w:t>
            </w:r>
          </w:p>
        </w:tc>
        <w:tc>
          <w:tcPr>
            <w:tcW w:type="dxa" w:w="2880"/>
          </w:tcPr>
          <w:p>
            <w:r>
              <w:t>No — field flows load customers by branch (RLS)</w:t>
            </w:r>
          </w:p>
        </w:tc>
      </w:tr>
      <w:tr>
        <w:tc>
          <w:tcPr>
            <w:tcW w:type="dxa" w:w="2880"/>
          </w:tcPr>
          <w:p>
            <w:r>
              <w:t>customer.create</w:t>
            </w:r>
          </w:p>
        </w:tc>
        <w:tc>
          <w:tcPr>
            <w:tcW w:type="dxa" w:w="2880"/>
          </w:tcPr>
          <w:p>
            <w:r>
              <w:t>No master-data customer creation</w:t>
            </w:r>
          </w:p>
        </w:tc>
        <w:tc>
          <w:tcPr>
            <w:tcW w:type="dxa" w:w="2880"/>
          </w:tcPr>
          <w:p>
            <w:r>
              <w:t>No — see option below</w:t>
            </w:r>
          </w:p>
        </w:tc>
      </w:tr>
    </w:tbl>
    <w:p>
      <w:r>
        <w:rPr>
          <w:b w:val="0"/>
          <w:i/>
        </w:rPr>
        <w:t>Decision point — new outlets on the route: if reps must onboard new customers in the field, do NOT restore customer.create (full master-data). Instead enable a lightweight quick-create (platform.quick_customer_create) writing a minimal record pending approval — a separate controlled path, not master-data. Default: remove; add quick-create only if the pilot needs it.</w:t>
      </w:r>
    </w:p>
    <w:p>
      <w:r>
        <w:rPr>
          <w:b/>
          <w:i w:val="0"/>
        </w:rPr>
        <w:t>5.3 Menus / screens hidden by this role change (rep only):</w:t>
      </w:r>
    </w:p>
    <w:p>
      <w:pPr>
        <w:pStyle w:val="ListBullet"/>
      </w:pPr>
      <w:r>
        <w:t>Sales sidebar section: Quick Sale, Sales Orders, Invoices, Collections (back office), Sales Returns (back office).</w:t>
      </w:r>
    </w:p>
    <w:p>
      <w:pPr>
        <w:pStyle w:val="ListBullet"/>
      </w:pPr>
      <w:r>
        <w:t>Customers master-data section + the generic Customers bottom-tab.</w:t>
      </w:r>
    </w:p>
    <w:p>
      <w:pPr>
        <w:pStyle w:val="ListBullet"/>
      </w:pPr>
      <w:r>
        <w:t>POS / Quick Sale.</w:t>
      </w:r>
    </w:p>
    <w:p>
      <w:pPr>
        <w:pStyle w:val="ListBullet"/>
      </w:pPr>
      <w:r>
        <w:t>The generic invoice-entry editor (/sales/invoices).</w:t>
      </w:r>
    </w:p>
    <w:p>
      <w:pPr>
        <w:pStyle w:val="ListBullet"/>
      </w:pPr>
      <w:r>
        <w:t>Command-palette entries for the above (inherit nav visibility).</w:t>
      </w:r>
    </w:p>
    <w:p>
      <w:r>
        <w:rPr>
          <w:b w:val="0"/>
          <w:i w:val="0"/>
        </w:rPr>
        <w:t>All remain fully available to Accountant / Company Admin — Back Office Invoicing is their legitimate workspace, untouched.</w:t>
      </w:r>
    </w:p>
    <w:p>
      <w:r>
        <w:rPr>
          <w:b/>
          <w:i w:val="0"/>
        </w:rPr>
        <w:t>5.4 What remains available — via the Van Sales workspace:</w:t>
      </w:r>
    </w:p>
    <w:p>
      <w:r>
        <w:rPr>
          <w:b w:val="0"/>
          <w:i w:val="0"/>
        </w:rPr>
        <w:t>Customer → Statement (/field/van-sales/statement) → Collect (/field/van-sales/collect) → Sell (/field/van-sales/sell → issue) → Print (/print/receipt + /print/invoices). Plus returns (/field/van-sales/return), My Day hub (route, visits, load, settlement), reconciliation, credit status + Collect Now, and credit/data change requests (submitted for approval).</w:t>
      </w:r>
    </w:p>
    <w:p>
      <w:r>
        <w:rPr>
          <w:b/>
          <w:i w:val="0"/>
        </w:rPr>
        <w:t>5.5 Mechanism (reversible, pilot-scoped):</w:t>
      </w:r>
    </w:p>
    <w:p>
      <w:r>
        <w:rPr>
          <w:b w:val="0"/>
          <w:i w:val="0"/>
        </w:rPr>
        <w:t>Delete the three rows (sales.sell, customers.manage, customer.create) from erp_company_role_permissions for (pilot company 612af0bd…, role salesman). Company-scoped — role-default template and other tenants untouched — and reversible (re-insert). No code/schema change.</w:t>
      </w:r>
    </w:p>
    <w:p>
      <w:pPr>
        <w:pStyle w:val="Heading1"/>
      </w:pPr>
      <w:r>
        <w:rPr>
          <w:color w:val="1F497D"/>
        </w:rPr>
        <w:t>6. Target FMCG navigation structure</w:t>
      </w:r>
    </w:p>
    <w:p>
      <w:r>
        <w:rPr>
          <w:b w:val="0"/>
          <w:i w:val="0"/>
        </w:rPr>
        <w:t>Principle: Van Sales is the canonical salesman workspace; future FMCG enhancements extend it rather than adding a parallel sales flow.</w:t>
      </w:r>
    </w:p>
    <w:p>
      <w:r>
        <w:rPr>
          <w:b w:val="0"/>
          <w:i w:val="0"/>
        </w:rPr>
        <w:t>Salesman one obvious path: Customer → Statement → Collect → Sell → Invoice → Print. The canonical flow already exists end-to-end (sell, collect, statement, credit status, Collect-Now, invoice issue, invoice print, receipt print) — the only gap is navigation cohesion: surface Statement + Collect on the Van Sales hub and from the customer context so the rep never needs the back-office menus.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Salesman (field)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Accountant / Admin</w:t>
            </w:r>
          </w:p>
        </w:tc>
      </w:tr>
      <w:tr>
        <w:tc>
          <w:tcPr>
            <w:tcW w:type="dxa" w:w="2880"/>
          </w:tcPr>
          <w:p>
            <w:r>
              <w:t>Van Sales (canonical)</w:t>
            </w:r>
          </w:p>
        </w:tc>
        <w:tc>
          <w:tcPr>
            <w:tcW w:type="dxa" w:w="2880"/>
          </w:tcPr>
          <w:p>
            <w:r>
              <w:t>Sell · Collect · Returns · Statement · My Day · Settlement</w:t>
            </w:r>
          </w:p>
        </w:tc>
        <w:tc>
          <w:tcPr>
            <w:tcW w:type="dxa" w:w="2880"/>
          </w:tcPr>
          <w:p>
            <w:r>
              <w:t>visible (oversight)</w:t>
            </w:r>
          </w:p>
        </w:tc>
      </w:tr>
      <w:tr>
        <w:tc>
          <w:tcPr>
            <w:tcW w:type="dxa" w:w="2880"/>
          </w:tcPr>
          <w:p>
            <w:r>
              <w:t>Sales / AR (back office)</w:t>
            </w:r>
          </w:p>
        </w:tc>
        <w:tc>
          <w:tcPr>
            <w:tcW w:type="dxa" w:w="2880"/>
          </w:tcPr>
          <w:p>
            <w:r>
              <w:t>hidden (no sales.sell)</w:t>
            </w:r>
          </w:p>
        </w:tc>
        <w:tc>
          <w:tcPr>
            <w:tcW w:type="dxa" w:w="2880"/>
          </w:tcPr>
          <w:p>
            <w:r>
              <w:t>Invoices · Orders · Collections · Returns · Aging · Credit Requests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Statement only (customers.view)</w:t>
            </w:r>
          </w:p>
        </w:tc>
        <w:tc>
          <w:tcPr>
            <w:tcW w:type="dxa" w:w="2880"/>
          </w:tcPr>
          <w:p>
            <w:r>
              <w:t>full master-data (customers.manage)</w:t>
            </w:r>
          </w:p>
        </w:tc>
      </w:tr>
      <w:tr>
        <w:tc>
          <w:tcPr>
            <w:tcW w:type="dxa" w:w="2880"/>
          </w:tcPr>
          <w:p>
            <w:r>
              <w:t>POS / Quick Sale</w:t>
            </w:r>
          </w:p>
        </w:tc>
        <w:tc>
          <w:tcPr>
            <w:tcW w:type="dxa" w:w="2880"/>
          </w:tcPr>
          <w:p>
            <w:r>
              <w:t>hidden (no pos/perm)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>
      <w:r>
        <w:rPr>
          <w:b w:val="0"/>
          <w:i w:val="0"/>
        </w:rPr>
        <w:t>Other verticals (Fashion/Pharmacy/Market/Restaurant/…) are unaffected — their POS/order screens stay gated by their own module + business type.</w:t>
      </w:r>
    </w:p>
    <w:p>
      <w:pPr>
        <w:pStyle w:val="Heading1"/>
      </w:pPr>
      <w:r>
        <w:rPr>
          <w:color w:val="1F497D"/>
        </w:rPr>
        <w:t>7. Recommended next steps (each safe + reversible)</w:t>
      </w:r>
    </w:p>
    <w:p>
      <w:pPr>
        <w:pStyle w:val="ListNumber"/>
      </w:pPr>
      <w:r>
        <w:t>Tighten the pilot salesman role → field.sales + sales.collect + customers.view; remove sales.sell + customers.manage (company-override only). Re-test Van-Sell / Collect / Statement and confirm the back-office sections disappear for the rep.</w:t>
      </w:r>
    </w:p>
    <w:p>
      <w:pPr>
        <w:pStyle w:val="ListNumber"/>
      </w:pPr>
      <w:r>
        <w:t>Add Statement + Collect entries to the Van Sales hub (/field/van-sales) and a customer-context drilldown, so the canonical flow is reachable without the sidebar (small additive UI that extends the canonical workspace).</w:t>
      </w:r>
    </w:p>
    <w:p>
      <w:pPr>
        <w:pStyle w:val="ListNumber"/>
      </w:pPr>
      <w:r>
        <w:t>Decide POS / Sales-Orders entitlement for the pilot: disable pos + sales_orders modules if unused (hides Quick Sale + Orders company-wide).</w:t>
      </w:r>
    </w:p>
    <w:p>
      <w:pPr>
        <w:pStyle w:val="ListNumber"/>
      </w:pPr>
      <w:r>
        <w:t>Optional, later: productize an fmcg.field_primary nav flag so this is a one-switch posture for any FMCG van-sales tenant.</w:t>
      </w:r>
    </w:p>
    <w:p>
      <w:pPr>
        <w:pStyle w:val="ListNumber"/>
      </w:pPr>
      <w:r>
        <w:t>Only after sign-off, consider deprecating truly unused generic screens — nothing is deleted now.</w:t>
      </w:r>
    </w:p>
    <w:p>
      <w:r>
        <w:rPr>
          <w:b/>
          <w:i w:val="0"/>
        </w:rPr>
        <w:t>Net: for the FMCG pilot salesman, a single canonical Van Sales workspace delivering Customer → Statement → Collect → Sell → Invoice → Print, with the duplicate back-office and Quick-Sale entries hidden by role/entitlement — all reversible, no impact on other tenants or verticals.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