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TIS-0 Foundations — Completion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TIS-0 Foundations — Completion Review</w:t>
      </w:r>
    </w:p>
    <w:p>
      <w:r>
        <w:rPr>
          <w:b/>
        </w:rPr>
        <w:t>Workstream:</w:t>
      </w:r>
      <w:r>
        <w:t xml:space="preserve"> Territory Intelligence Studio → TIS-0 (Shared Dataset + Scenario State)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</w:t>
      </w:r>
    </w:p>
    <w:p>
      <w:r>
        <w:rPr>
          <w:b/>
        </w:rPr>
        <w:t>Status:</w:t>
      </w:r>
      <w:r>
        <w:t xml:space="preserve"> Complete · validated · pushed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Objective (met)</w:t>
      </w:r>
    </w:p>
    <w:p>
      <w:r>
        <w:t xml:space="preserve">Establish the </w:t>
      </w:r>
      <w:r>
        <w:rPr>
          <w:b/>
        </w:rPr>
        <w:t>one canonical dataset</w:t>
      </w:r>
      <w:r>
        <w:t xml:space="preserve"> and </w:t>
      </w:r>
      <w:r>
        <w:rPr>
          <w:b/>
        </w:rPr>
        <w:t>one scenario state</w:t>
      </w:r>
      <w:r>
        <w:t xml:space="preserve"> that every TIS stage</w:t>
      </w:r>
    </w:p>
    <w:p>
      <w:r>
        <w:t>(Audit · Sizing · Optimization · Visual Planning · Geo) reads and writes — pure, framework-free,</w:t>
      </w:r>
    </w:p>
    <w:p>
      <w:r>
        <w:t>assembled ~90% from existing engines — so later stages are thin functions over a shared</w:t>
      </w:r>
    </w:p>
    <w:p>
      <w:r>
        <w:t xml:space="preserve">contract, and the Mode-A </w:t>
      </w:r>
      <w:r>
        <w:rPr>
          <w:rFonts w:ascii="Consolas" w:hAnsi="Consolas"/>
          <w:sz w:val="19"/>
        </w:rPr>
        <w:t>Google Sheet → … → Write-back</w:t>
      </w:r>
      <w:r>
        <w:t xml:space="preserve"> loop shares the contract with a Mode-C</w:t>
      </w:r>
    </w:p>
    <w:p>
      <w:r>
        <w:t>live tenant.</w:t>
      </w:r>
    </w:p>
    <w:p>
      <w:pPr>
        <w:pStyle w:val="Heading2"/>
      </w:pPr>
      <w:r>
        <w:rPr>
          <w:color w:val="1F497D"/>
        </w:rPr>
        <w:t>2. Phases Delivered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Commit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Tests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TIS-0-1</w:t>
            </w:r>
            <w:r>
              <w:t xml:space="preserve"> Dataset model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9b75cb8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TisCustomer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TisDataset</w:t>
            </w:r>
            <w:r>
              <w:t xml:space="preserve"> + builders / validators / </w:t>
            </w:r>
            <w:r>
              <w:rPr>
                <w:rFonts w:ascii="Consolas" w:hAnsi="Consolas"/>
                <w:sz w:val="19"/>
              </w:rPr>
              <w:t>customerWorkload</w:t>
            </w:r>
            <w:r>
              <w:t xml:space="preserve"> / presence predicates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TIS-0-2</w:t>
            </w:r>
            <w:r>
              <w:t xml:space="preserve"> Capability matrix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259e39c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resolveCapabilities</w:t>
            </w:r>
            <w:r>
              <w:t xml:space="preserve"> → available stages/overlays from present data + Mode A/B/C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TIS-0-3</w:t>
            </w:r>
            <w:r>
              <w:t xml:space="preserve"> Scenario + metrics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13fd601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applyScenario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scenarioMetrics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compareScenarios</w:t>
            </w:r>
            <w:r>
              <w:t xml:space="preserve"> (Current · A · B · C)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TIS-0-4</w:t>
            </w:r>
            <w:r>
              <w:t xml:space="preserve"> Adapters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e200568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buildTisDatasetFromRows</w:t>
            </w:r>
            <w:r>
              <w:t xml:space="preserve"> (upload) + </w:t>
            </w:r>
            <w:r>
              <w:rPr>
                <w:rFonts w:ascii="Consolas" w:hAnsi="Consolas"/>
                <w:sz w:val="19"/>
              </w:rPr>
              <w:t>loadTisDataset</w:t>
            </w:r>
            <w:r>
              <w:t xml:space="preserve"> (live DB) → same shape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/>
    <w:p>
      <w:pPr>
        <w:pStyle w:val="Heading2"/>
      </w:pPr>
      <w:r>
        <w:rPr>
          <w:color w:val="1F497D"/>
        </w:rPr>
        <w:t>3. The Canonical Model</w:t>
      </w:r>
    </w:p>
    <w:p>
      <w:pPr>
        <w:ind w:left="240"/>
      </w:pPr>
      <w:r>
        <w:rPr>
          <w:rFonts w:ascii="Consolas" w:hAnsi="Consolas"/>
          <w:sz w:val="18"/>
        </w:rPr>
        <w:t>TisCustomer { id · code · name · geo · ownership{salesman,supervisor,area,region,route}</w:t>
        <w:br/>
        <w:t xml:space="preserve">              · grade · frequency(VisitFrequency) · salesValue? · coverage? · health? }</w:t>
        <w:br/>
        <w:t>TisDataset  { customers · asOf · source }</w:t>
      </w:r>
    </w:p>
    <w:p>
      <w:pPr>
        <w:pStyle w:val="ListBullet"/>
      </w:pPr>
      <w:r>
        <w:rPr>
          <w:b/>
        </w:rPr>
        <w:t>Every field optional except identity</w:t>
      </w:r>
      <w:r>
        <w:t xml:space="preserve"> → a Mode-A upload (geo, maybe sales) and a Mode-C</w:t>
      </w:r>
    </w:p>
    <w:p>
      <w:r>
        <w:t xml:space="preserve">live tenant produce the </w:t>
      </w:r>
      <w:r>
        <w:rPr>
          <w:b/>
        </w:rPr>
        <w:t>same shape</w:t>
      </w:r>
      <w:r>
        <w:t>; missing fields downgrade capabilities, never break.</w:t>
      </w:r>
    </w:p>
    <w:p>
      <w:pPr>
        <w:pStyle w:val="ListBullet"/>
      </w:pPr>
      <w:r>
        <w:rPr>
          <w:b/>
        </w:rPr>
        <w:t>Workload</w:t>
      </w:r>
      <w:r>
        <w:t xml:space="preserve"> derives from </w:t>
      </w:r>
      <w:r>
        <w:rPr>
          <w:rFonts w:ascii="Consolas" w:hAnsi="Consolas"/>
          <w:sz w:val="19"/>
        </w:rPr>
        <w:t>frequency</w:t>
      </w:r>
      <w:r>
        <w:t xml:space="preserve"> via the FR resolver (FR-1…FR-6). </w:t>
      </w:r>
      <w:r>
        <w:rPr>
          <w:b/>
        </w:rPr>
        <w:t>Coverage</w:t>
      </w:r>
      <w:r>
        <w:t xml:space="preserve"> from the</w:t>
      </w:r>
    </w:p>
    <w:p>
      <w:r>
        <w:t xml:space="preserve">Coverage Engine (CV-1/CJ-3). </w:t>
      </w:r>
      <w:r>
        <w:rPr>
          <w:b/>
        </w:rPr>
        <w:t>Grade</w:t>
      </w:r>
      <w:r>
        <w:t xml:space="preserve"> from outlet-grade. No new business logic.</w:t>
      </w:r>
    </w:p>
    <w:p>
      <w:pPr>
        <w:pStyle w:val="ListBullet"/>
      </w:pPr>
      <w:r>
        <w:t>This is the Export ≡ Import ≡ Apply single data model (strategy §4a/§4b).</w:t>
      </w:r>
    </w:p>
    <w:p>
      <w:pPr>
        <w:pStyle w:val="Heading2"/>
      </w:pPr>
      <w:r>
        <w:rPr>
          <w:color w:val="1F497D"/>
        </w:rPr>
        <w:t>4. Graceful Degradation (in code)</w:t>
      </w:r>
    </w:p>
    <w:p>
      <w:r>
        <w:rPr>
          <w:rFonts w:ascii="Consolas" w:hAnsi="Consolas"/>
          <w:sz w:val="19"/>
        </w:rPr>
        <w:t>resolveCapabilities(dataset)</w:t>
      </w:r>
      <w:r>
        <w:t xml:space="preserve"> decides which features light up from </w:t>
      </w:r>
      <w:r>
        <w:rPr>
          <w:b/>
        </w:rPr>
        <w:t>what data is present</w:t>
      </w:r>
    </w:p>
    <w:p>
      <w:r>
        <w:t>(≥ 50% of customers, configurable), and derives the mode: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Requires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Mode</w:t>
            </w:r>
          </w:p>
        </w:tc>
      </w:tr>
      <w:tr>
        <w:tc>
          <w:tcPr>
            <w:tcW w:type="dxa" w:w="2880"/>
          </w:tcPr>
          <w:p>
            <w:r>
              <w:t>Visual Planning / Map</w:t>
            </w:r>
          </w:p>
        </w:tc>
        <w:tc>
          <w:tcPr>
            <w:tcW w:type="dxa" w:w="2880"/>
          </w:tcPr>
          <w:p>
            <w:r>
              <w:t>geo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Route Optimization</w:t>
            </w:r>
          </w:p>
        </w:tc>
        <w:tc>
          <w:tcPr>
            <w:tcW w:type="dxa" w:w="2880"/>
          </w:tcPr>
          <w:p>
            <w:r>
              <w:t>geo + frequency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Territory Audit</w:t>
            </w:r>
          </w:p>
        </w:tc>
        <w:tc>
          <w:tcPr>
            <w:tcW w:type="dxa" w:w="2880"/>
          </w:tcPr>
          <w:p>
            <w:r>
              <w:t>geo + (grade or frequency)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Sales Force Sizing</w:t>
            </w:r>
          </w:p>
        </w:tc>
        <w:tc>
          <w:tcPr>
            <w:tcW w:type="dxa" w:w="2880"/>
          </w:tcPr>
          <w:p>
            <w:r>
              <w:t>frequency (workload)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Coverage overlay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Health overlay</w:t>
            </w:r>
          </w:p>
        </w:tc>
        <w:tc>
          <w:tcPr>
            <w:tcW w:type="dxa" w:w="2880"/>
          </w:tcPr>
          <w:p>
            <w:r>
              <w:t>health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</w:tbl>
    <w:p/>
    <w:p>
      <w:r>
        <w:t>Mode A = optimization-only · B = coverage present · C = coverage + health. The same flags drive</w:t>
      </w:r>
    </w:p>
    <w:p>
      <w:r>
        <w:t>the Mode A/B/C UX and "needs X" empty states — no build flags, no mode picker.</w:t>
      </w:r>
    </w:p>
    <w:p>
      <w:pPr>
        <w:pStyle w:val="Heading2"/>
      </w:pPr>
      <w:r>
        <w:rPr>
          <w:color w:val="1F497D"/>
        </w:rPr>
        <w:t>5. Scenario State + Metrics</w:t>
      </w:r>
    </w:p>
    <w:p>
      <w:r>
        <w:t>One scenario model threads Audit → Sizing → Optimization → Planning and compares on identical</w:t>
      </w:r>
    </w:p>
    <w:p>
      <w:r>
        <w:t>metrics:</w:t>
      </w:r>
    </w:p>
    <w:p>
      <w:pPr>
        <w:pStyle w:val="ListBullet"/>
      </w:pPr>
      <w:r>
        <w:rPr>
          <w:rFonts w:ascii="Consolas" w:hAnsi="Consolas"/>
          <w:sz w:val="19"/>
        </w:rPr>
        <w:t>applyScenario(dataset, scenario)</w:t>
      </w:r>
      <w:r>
        <w:t xml:space="preserve"> — per-customer route/salesman/day overrides, immutable.</w:t>
      </w:r>
    </w:p>
    <w:p>
      <w:pPr>
        <w:pStyle w:val="ListBullet"/>
      </w:pPr>
      <w:r>
        <w:rPr>
          <w:rFonts w:ascii="Consolas" w:hAnsi="Consolas"/>
          <w:sz w:val="19"/>
        </w:rPr>
        <w:t>scenarioMetrics</w:t>
      </w:r>
      <w:r>
        <w:t xml:space="preserve"> — customers · </w:t>
      </w:r>
      <w:r>
        <w:rPr>
          <w:b/>
        </w:rPr>
        <w:t>visits</w:t>
      </w:r>
      <w:r>
        <w:t xml:space="preserve"> (Σ workload via FR) · </w:t>
      </w:r>
      <w:r>
        <w:rPr>
          <w:b/>
        </w:rPr>
        <w:t>salesValue</w:t>
      </w:r>
      <w:r>
        <w:t xml:space="preserve"> · </w:t>
      </w:r>
      <w:r>
        <w:rPr>
          <w:b/>
        </w:rPr>
        <w:t>distance</w:t>
      </w:r>
    </w:p>
    <w:p>
      <w:r>
        <w:t xml:space="preserve">(via the route optimizer) · </w:t>
      </w:r>
      <w:r>
        <w:rPr>
          <w:b/>
        </w:rPr>
        <w:t>coveragePct</w:t>
      </w:r>
      <w:r>
        <w:t xml:space="preserve"> (Coverage rollup) · routeCount · </w:t>
      </w:r>
      <w:r>
        <w:rPr>
          <w:b/>
        </w:rPr>
        <w:t>routeBalance%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compareScenarios(base, [A,B,C])</w:t>
      </w:r>
      <w:r>
        <w:t xml:space="preserve"> — Current Plan + each scenario on the same metrics (the</w:t>
      </w:r>
    </w:p>
    <w:p>
      <w:r>
        <w:t>Visual Planning compare view).</w:t>
      </w:r>
    </w:p>
    <w:p>
      <w:pPr>
        <w:pStyle w:val="Heading2"/>
      </w:pPr>
      <w:r>
        <w:rPr>
          <w:color w:val="1F497D"/>
        </w:rPr>
        <w:t>6. Adapters (both entry points, one shape)</w:t>
      </w:r>
    </w:p>
    <w:p>
      <w:pPr>
        <w:pStyle w:val="ListBullet"/>
      </w:pPr>
      <w:r>
        <w:rPr>
          <w:b/>
        </w:rPr>
        <w:t>Upload (pure):</w:t>
      </w:r>
      <w:r>
        <w:t xml:space="preserve"> </w:t>
      </w:r>
      <w:r>
        <w:rPr>
          <w:rFonts w:ascii="Consolas" w:hAnsi="Consolas"/>
          <w:sz w:val="19"/>
        </w:rPr>
        <w:t>buildTisDatasetFromRows</w:t>
      </w:r>
      <w:r>
        <w:t xml:space="preserve"> maps parsed Sheet/Excel/connector rows →</w:t>
      </w:r>
    </w:p>
    <w:p>
      <w:r>
        <w:rPr>
          <w:rFonts w:ascii="Consolas" w:hAnsi="Consolas"/>
          <w:sz w:val="19"/>
        </w:rPr>
        <w:t>TisCustomer</w:t>
      </w:r>
      <w:r>
        <w:t xml:space="preserve"> (lenient FR frequency coercion, geo parse, coverage validation, id synthesis).</w:t>
      </w:r>
    </w:p>
    <w:p>
      <w:pPr>
        <w:pStyle w:val="ListBullet"/>
      </w:pPr>
      <w:r>
        <w:rPr>
          <w:b/>
        </w:rPr>
        <w:t>Live (server):</w:t>
      </w:r>
      <w:r>
        <w:t xml:space="preserve"> </w:t>
      </w:r>
      <w:r>
        <w:rPr>
          <w:rFonts w:ascii="Consolas" w:hAnsi="Consolas"/>
          <w:sz w:val="19"/>
        </w:rPr>
        <w:t>loadTisDataset</w:t>
      </w:r>
      <w:r>
        <w:t xml:space="preserve"> composes RLS-scoped </w:t>
      </w:r>
      <w:r>
        <w:rPr>
          <w:rFonts w:ascii="Consolas" w:hAnsi="Consolas"/>
          <w:sz w:val="19"/>
        </w:rPr>
        <w:t>erp_customers</w:t>
      </w:r>
      <w:r>
        <w:t xml:space="preserve"> + Coverage Engine +</w:t>
      </w:r>
    </w:p>
    <w:p>
      <w:r>
        <w:t>FR customer-level frequency + rep→supervisor chain. Best-effort/read-only; sales/health/</w:t>
      </w:r>
    </w:p>
    <w:p>
      <w:r>
        <w:t>grade-history are later enrichments.</w:t>
      </w:r>
    </w:p>
    <w:p>
      <w:pPr>
        <w:pStyle w:val="Heading2"/>
      </w:pPr>
      <w:r>
        <w:rPr>
          <w:color w:val="1F497D"/>
        </w:rPr>
        <w:t>7. Reuse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Reuse</w:t>
            </w:r>
          </w:p>
        </w:tc>
      </w:tr>
      <w:tr>
        <w:tc>
          <w:tcPr>
            <w:tcW w:type="dxa" w:w="2880"/>
          </w:tcPr>
          <w:p>
            <w:r>
              <w:t>Frequency / workload</w:t>
            </w:r>
          </w:p>
        </w:tc>
        <w:tc>
          <w:tcPr>
            <w:tcW w:type="dxa" w:w="2880"/>
          </w:tcPr>
          <w:p>
            <w:r>
              <w:t>FR resolver (FR-1…6)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Coverage status / rollup</w:t>
            </w:r>
          </w:p>
        </w:tc>
        <w:tc>
          <w:tcPr>
            <w:tcW w:type="dxa" w:w="2880"/>
          </w:tcPr>
          <w:p>
            <w:r>
              <w:t>Coverage Engine (CV-1)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Distance / sequencing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optimize.ts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Grade · geo · ownership</w:t>
            </w:r>
          </w:p>
        </w:tc>
        <w:tc>
          <w:tcPr>
            <w:tcW w:type="dxa" w:w="2880"/>
          </w:tcPr>
          <w:p>
            <w:r>
              <w:t>existing tables/engines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r>
        <w:rPr>
          <w:b/>
        </w:rPr>
        <w:t>≈90% reuse.</w:t>
      </w:r>
      <w:r>
        <w:t xml:space="preserve"> Net-new: the model types, capability matrix, scenario math, two adapters — all</w:t>
      </w:r>
    </w:p>
    <w:p>
      <w:r>
        <w:t>pure except the live loader.</w:t>
      </w:r>
    </w:p>
    <w:p>
      <w:pPr>
        <w:pStyle w:val="Heading2"/>
      </w:pPr>
      <w:r>
        <w:rPr>
          <w:color w:val="1F497D"/>
        </w:rPr>
        <w:t>8. Simple Mode</w:t>
      </w:r>
    </w:p>
    <w:p>
      <w:r>
        <w:t>Engine-derived fields (no assembly config); capabilities resolve automatically (no mode picker);</w:t>
      </w:r>
    </w:p>
    <w:p>
      <w:r>
        <w:t>scenario metrics read in business terms (customers · visits · sales · distance · coverage ·</w:t>
      </w:r>
    </w:p>
    <w:p>
      <w:r>
        <w:t>balance) — no weights exposed at this layer.</w:t>
      </w:r>
    </w:p>
    <w:p>
      <w:pPr>
        <w:pStyle w:val="Heading2"/>
      </w:pPr>
      <w:r>
        <w:rPr>
          <w:color w:val="1F497D"/>
        </w:rPr>
        <w:t>9. 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tsc --noEmit</w:t>
            </w:r>
          </w:p>
        </w:tc>
        <w:tc>
          <w:tcPr>
            <w:tcW w:type="dxa" w:w="4320"/>
          </w:tcPr>
          <w:p>
            <w:r>
              <w:t>Clean (all four phases)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vitest</w:t>
            </w:r>
            <w:r>
              <w:t xml:space="preserve"> (full)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1713 passed</w:t>
            </w:r>
            <w:r>
              <w:t xml:space="preserve"> / 192 skipped · 0 regressions (+23 TIS)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Not required — pure libs + one server loader, no route/UI surface yet</w:t>
            </w:r>
          </w:p>
        </w:tc>
      </w:tr>
    </w:tbl>
    <w:p/>
    <w:p>
      <w:pPr>
        <w:pStyle w:val="Heading2"/>
      </w:pPr>
      <w:r>
        <w:rPr>
          <w:color w:val="1F497D"/>
        </w:rPr>
        <w:t>10. Next</w:t>
      </w:r>
    </w:p>
    <w:p>
      <w:r>
        <w:rPr>
          <w:b/>
        </w:rPr>
        <w:t>Territory Audit Engine</w:t>
      </w:r>
      <w:r>
        <w:t xml:space="preserve"> (priority #4) builds its first read-model + Simple-Mode surface</w:t>
      </w:r>
    </w:p>
    <w:p>
      <w:r>
        <w:t>directly on this TIS-0 dataset (coverage gaps · white-space · territory/route imbalance ·</w:t>
      </w:r>
    </w:p>
    <w:p>
      <w:r>
        <w:t xml:space="preserve">distribution analysis), reusing </w:t>
      </w:r>
      <w:r>
        <w:rPr>
          <w:rFonts w:ascii="Consolas" w:hAnsi="Consolas"/>
          <w:sz w:val="19"/>
        </w:rPr>
        <w:t>resolveCapabilities</w:t>
      </w:r>
      <w:r>
        <w:t xml:space="preserve"> to degrade gracefully. To be opened with</w:t>
      </w:r>
    </w:p>
    <w:p>
      <w:r>
        <w:t>an audit-first design package (gated), Simple Mode enforced.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