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Admin Center Alignment — AC-2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Admin Center Alignment — AC-2 Completion Review</w:t>
      </w:r>
    </w:p>
    <w:p>
      <w:pPr>
        <w:pStyle w:val="Heading3"/>
      </w:pPr>
      <w:r>
        <w:t>Entity pages on ModulePage (Hybrid: shell-only, managers unchanged)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</w:t>
      </w:r>
    </w:p>
    <w:p>
      <w:r>
        <w:t xml:space="preserve">AC-2 standardizes the four platform </w:t>
      </w:r>
      <w:r>
        <w:rPr>
          <w:b/>
        </w:rPr>
        <w:t>entity</w:t>
      </w:r>
      <w:r>
        <w:t xml:space="preserve"> pages onto the shared </w:t>
      </w:r>
      <w:r>
        <w:rPr>
          <w:rFonts w:ascii="Consolas" w:hAnsi="Consolas"/>
          <w:sz w:val="19"/>
        </w:rPr>
        <w:t>ModulePage</w:t>
      </w:r>
      <w:r>
        <w:t xml:space="preserve"> shell, per the approved </w:t>
      </w:r>
      <w:r>
        <w:rPr>
          <w:b/>
        </w:rPr>
        <w:t>Hybrid</w:t>
      </w:r>
      <w:r>
        <w:t xml:space="preserve"> decision (shell now; managers reused 100% verbatim; </w:t>
      </w:r>
      <w:r>
        <w:rPr>
          <w:b/>
        </w:rPr>
        <w:t>no</w:t>
      </w:r>
      <w:r>
        <w:t xml:space="preserve"> deep 3-panel </w:t>
      </w:r>
      <w:r>
        <w:rPr>
          <w:rFonts w:ascii="Consolas" w:hAnsi="Consolas"/>
          <w:sz w:val="19"/>
        </w:rPr>
        <w:t>AdminWorkbench</w:t>
      </w:r>
      <w:r>
        <w:t xml:space="preserve"> recomposition). One page per commit, validated after each. Presentational only — no business-logic, permission, RLS, workflow, or route change.</w:t>
      </w:r>
    </w:p>
    <w:p>
      <w:pPr>
        <w:pStyle w:val="Heading2"/>
      </w:pPr>
      <w:r>
        <w:rPr>
          <w:color w:val="1F497D"/>
        </w:rPr>
        <w:t>1. What shipped (one commit per page)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Manager (reused verbatim)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Gate (unchanged)</w:t>
            </w:r>
          </w:p>
        </w:tc>
      </w:tr>
      <w:tr>
        <w:tc>
          <w:tcPr>
            <w:tcW w:type="dxa" w:w="2160"/>
          </w:tcPr>
          <w:p>
            <w:r>
              <w:t>Plans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/platform/plans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PlansManager</w:t>
            </w:r>
            <w:r>
              <w:t xml:space="preserve"> (tabs/accordion)</w:t>
            </w:r>
          </w:p>
        </w:tc>
        <w:tc>
          <w:tcPr>
            <w:tcW w:type="dxa" w:w="2160"/>
          </w:tcPr>
          <w:p>
            <w:r>
              <w:t>platform-owner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/platform/roles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RolesManager</w:t>
            </w:r>
          </w:p>
        </w:tc>
        <w:tc>
          <w:tcPr>
            <w:tcW w:type="dxa" w:w="2160"/>
          </w:tcPr>
          <w:p>
            <w:r>
              <w:t>platform-owner</w:t>
            </w:r>
          </w:p>
        </w:tc>
      </w:tr>
      <w:tr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/platform/staff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StaffManager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manage_users</w:t>
            </w:r>
          </w:p>
        </w:tc>
      </w:tr>
      <w:tr>
        <w:tc>
          <w:tcPr>
            <w:tcW w:type="dxa" w:w="2160"/>
          </w:tcPr>
          <w:p>
            <w:r>
              <w:t>Entitlements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/platform/entitlements</w:t>
            </w:r>
          </w:p>
        </w:tc>
        <w:tc>
          <w:tcPr>
            <w:tcW w:type="dxa" w:w="2160"/>
          </w:tcPr>
          <w:p>
            <w:r>
              <w:t>company picker</w:t>
            </w:r>
          </w:p>
        </w:tc>
        <w:tc>
          <w:tcPr>
            <w:tcW w:type="dxa" w:w="2160"/>
          </w:tcPr>
          <w:p>
            <w:r>
              <w:t>flag + owner/super-admin</w:t>
            </w:r>
          </w:p>
        </w:tc>
      </w:tr>
    </w:tbl>
    <w:p/>
    <w:p>
      <w:r>
        <w:t xml:space="preserve">Each commit: tsc clean · suite </w:t>
      </w:r>
      <w:r>
        <w:rPr>
          <w:b/>
        </w:rPr>
        <w:t>1596 passed</w:t>
      </w:r>
      <w:r>
        <w:t xml:space="preserve"> · build green.</w:t>
      </w:r>
    </w:p>
    <w:p>
      <w:pPr>
        <w:pStyle w:val="Heading2"/>
      </w:pPr>
      <w:r>
        <w:rPr>
          <w:color w:val="1F497D"/>
        </w:rPr>
        <w:t>2. Before → After (all four)</w:t>
      </w:r>
    </w:p>
    <w:p>
      <w:pPr>
        <w:ind w:left="240"/>
      </w:pPr>
      <w:r>
        <w:rPr>
          <w:rFonts w:ascii="Consolas" w:hAnsi="Consolas"/>
          <w:sz w:val="18"/>
        </w:rPr>
        <w:t>BEFORE                                   AFTER</w:t>
        <w:br/>
        <w:t>&lt;div className="space-y-6"&gt;              &lt;ModulePage title subtitle&gt;</w:t>
        <w:br/>
        <w:t xml:space="preserve">  &lt;PageHeader title desc /&gt;                 …Manager (unchanged: its own</w:t>
        <w:br/>
        <w:t xml:space="preserve">  &lt;Manager … /&gt;                                tabs / list / detail / actions)…</w:t>
        <w:br/>
        <w:t>&lt;/div&gt;                                   &lt;/ModulePage&gt;</w:t>
      </w:r>
    </w:p>
    <w:p>
      <w:pPr>
        <w:pStyle w:val="ListBullet"/>
      </w:pPr>
      <w:r>
        <w:t xml:space="preserve">Consistent header / subtitle / spacing via </w:t>
      </w:r>
      <w:r>
        <w:rPr>
          <w:rFonts w:ascii="Consolas" w:hAnsi="Consolas"/>
          <w:sz w:val="19"/>
        </w:rPr>
        <w:t>ModulePage</w:t>
      </w:r>
      <w:r>
        <w:t>.</w:t>
      </w:r>
    </w:p>
    <w:p>
      <w:pPr>
        <w:pStyle w:val="ListBullet"/>
      </w:pPr>
      <w:r>
        <w:t>Each manager keeps its internal structure exactly as-is (no list/detail recomposition).</w:t>
      </w:r>
    </w:p>
    <w:p>
      <w:pPr>
        <w:pStyle w:val="ListBullet"/>
      </w:pPr>
      <w:r>
        <w:t xml:space="preserve">Not-authorized guards also wrapped in </w:t>
      </w:r>
      <w:r>
        <w:rPr>
          <w:rFonts w:ascii="Consolas" w:hAnsi="Consolas"/>
          <w:sz w:val="19"/>
        </w:rPr>
        <w:t>ModulePage</w:t>
      </w:r>
      <w:r>
        <w:t>.</w:t>
      </w:r>
    </w:p>
    <w:p>
      <w:pPr>
        <w:pStyle w:val="ListBullet"/>
      </w:pPr>
      <w:r>
        <w:t xml:space="preserve">Title now uses the standard </w:t>
      </w:r>
      <w:r>
        <w:rPr>
          <w:rFonts w:ascii="Consolas" w:hAnsi="Consolas"/>
          <w:sz w:val="19"/>
        </w:rPr>
        <w:t>text-xl font-semibold</w:t>
      </w:r>
      <w:r>
        <w:t xml:space="preserve"> shell (the intended consistency change). No functional change.</w:t>
      </w:r>
    </w:p>
    <w:p>
      <w:r>
        <w:rPr>
          <w:b/>
        </w:rPr>
        <w:t>Capture points (preview, latest):</w:t>
      </w:r>
      <w:r>
        <w:t xml:space="preserve"> </w:t>
      </w:r>
      <w:r>
        <w:rPr>
          <w:rFonts w:ascii="Consolas" w:hAnsi="Consolas"/>
          <w:sz w:val="19"/>
        </w:rPr>
        <w:t>…/platform/plans · /roles · /staff · /entitlements</w:t>
      </w:r>
      <w:r>
        <w:t xml:space="preserve"> (authenticated screenshots can't be captured from the sandbox).</w:t>
      </w:r>
    </w:p>
    <w:p>
      <w:pPr>
        <w:pStyle w:val="Heading2"/>
      </w:pPr>
      <w:r>
        <w:rPr>
          <w:color w:val="1F497D"/>
        </w:rPr>
        <w:t>3.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tsc</w:t>
            </w:r>
          </w:p>
        </w:tc>
        <w:tc>
          <w:tcPr>
            <w:tcW w:type="dxa" w:w="4320"/>
          </w:tcPr>
          <w:p>
            <w:r>
              <w:t>✅ clean (each page)</w:t>
            </w:r>
          </w:p>
        </w:tc>
      </w:tr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✅ 1596 passed / 192 skipped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✅ all routes compile</w:t>
            </w:r>
          </w:p>
        </w:tc>
      </w:tr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✅ unchanged (no redirects)</w:t>
            </w:r>
          </w:p>
        </w:tc>
      </w:tr>
      <w:tr>
        <w:tc>
          <w:tcPr>
            <w:tcW w:type="dxa" w:w="4320"/>
          </w:tcPr>
          <w:p>
            <w:r>
              <w:t>Gates</w:t>
            </w:r>
          </w:p>
        </w:tc>
        <w:tc>
          <w:tcPr>
            <w:tcW w:type="dxa" w:w="4320"/>
          </w:tcPr>
          <w:p>
            <w:r>
              <w:t>✅ unchanged — platform-owner / manage_users / entitlement guards preserved; platform-governance invariants still pass</w:t>
            </w:r>
          </w:p>
        </w:tc>
      </w:tr>
    </w:tbl>
    <w:p/>
    <w:p>
      <w:pPr>
        <w:pStyle w:val="Heading2"/>
      </w:pPr>
      <w:r>
        <w:rPr>
          <w:color w:val="1F497D"/>
        </w:rPr>
        <w:t>4. Admin Center coverage so far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t>Companies</w:t>
            </w:r>
          </w:p>
        </w:tc>
        <w:tc>
          <w:tcPr>
            <w:tcW w:type="dxa" w:w="2880"/>
          </w:tcPr>
          <w:p>
            <w:r>
              <w:t>AdminWorkbench (Company360)</w:t>
            </w:r>
          </w:p>
        </w:tc>
        <w:tc>
          <w:tcPr>
            <w:tcW w:type="dxa" w:w="2880"/>
          </w:tcPr>
          <w:p>
            <w:r>
              <w:t>pre-existing</w:t>
            </w:r>
          </w:p>
        </w:tc>
      </w:tr>
      <w:tr>
        <w:tc>
          <w:tcPr>
            <w:tcW w:type="dxa" w:w="2880"/>
          </w:tcPr>
          <w:p>
            <w:r>
              <w:t>Overview · Analytics · Activity · Copilot · Audit · Drugs</w:t>
            </w:r>
          </w:p>
        </w:tc>
        <w:tc>
          <w:tcPr>
            <w:tcW w:type="dxa" w:w="2880"/>
          </w:tcPr>
          <w:p>
            <w:r>
              <w:t>ModulePage</w:t>
            </w:r>
          </w:p>
        </w:tc>
        <w:tc>
          <w:tcPr>
            <w:tcW w:type="dxa" w:w="2880"/>
          </w:tcPr>
          <w:p>
            <w:r>
              <w:t>AC-1 ✅</w:t>
            </w:r>
          </w:p>
        </w:tc>
      </w:tr>
      <w:tr>
        <w:tc>
          <w:tcPr>
            <w:tcW w:type="dxa" w:w="2880"/>
          </w:tcPr>
          <w:p>
            <w:r>
              <w:t>Plans · Roles · Staff · Entitlements</w:t>
            </w:r>
          </w:p>
        </w:tc>
        <w:tc>
          <w:tcPr>
            <w:tcW w:type="dxa" w:w="2880"/>
          </w:tcPr>
          <w:p>
            <w:r>
              <w:t>ModulePage (managers unchanged)</w:t>
            </w:r>
          </w:p>
        </w:tc>
        <w:tc>
          <w:tcPr>
            <w:tcW w:type="dxa" w:w="2880"/>
          </w:tcPr>
          <w:p>
            <w:r>
              <w:t>AC-2 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880"/>
          </w:tcPr>
          <w:p>
            <w:r>
              <w:t>bespoke (pending)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AC-4</w:t>
            </w:r>
          </w:p>
        </w:tc>
      </w:tr>
    </w:tbl>
    <w:p/>
    <w:p>
      <w:r>
        <w:t xml:space="preserve">10 of 11 platform surfaces are now on a shared container; </w:t>
      </w:r>
      <w:r>
        <w:rPr>
          <w:b/>
        </w:rPr>
        <w:t>Billing</w:t>
      </w:r>
      <w:r>
        <w:t xml:space="preserve"> is the only one left.</w:t>
      </w:r>
    </w:p>
    <w:p>
      <w:pPr>
        <w:pStyle w:val="Heading2"/>
      </w:pPr>
      <w:r>
        <w:rPr>
          <w:color w:val="1F497D"/>
        </w:rPr>
        <w:t>5. Plan adjustment &amp; next step</w:t>
      </w:r>
    </w:p>
    <w:p>
      <w:pPr>
        <w:pStyle w:val="ListBullet"/>
      </w:pPr>
      <w:r>
        <w:rPr>
          <w:b/>
        </w:rPr>
        <w:t>AC-3 (EntityListPanel unification) — now MOOT under Hybrid.</w:t>
      </w:r>
      <w:r>
        <w:t xml:space="preserve"> It existed to unify the *workbench* list model when recomposing managers into </w:t>
      </w:r>
      <w:r>
        <w:rPr>
          <w:rFonts w:ascii="Consolas" w:hAnsi="Consolas"/>
          <w:sz w:val="19"/>
        </w:rPr>
        <w:t>EntityListPanel</w:t>
      </w:r>
      <w:r>
        <w:t xml:space="preserve">. Since managers stay unchanged, there is no </w:t>
      </w:r>
      <w:r>
        <w:rPr>
          <w:rFonts w:ascii="Consolas" w:hAnsi="Consolas"/>
          <w:sz w:val="19"/>
        </w:rPr>
        <w:t>EntityListPanel</w:t>
      </w:r>
      <w:r>
        <w:t xml:space="preserve"> adoption on the platform layer to unify. </w:t>
      </w:r>
      <w:r>
        <w:rPr>
          <w:b/>
        </w:rPr>
        <w:t>Recommendation: skip/park AC-3</w:t>
      </w:r>
      <w:r>
        <w:t xml:space="preserve"> (revisit only if a future "Deep Workbench" initiative is approved).</w:t>
      </w:r>
    </w:p>
    <w:p>
      <w:pPr>
        <w:pStyle w:val="ListBullet"/>
      </w:pPr>
      <w:r>
        <w:rPr>
          <w:b/>
        </w:rPr>
        <w:t>AC-4 (Billing) — last shell-only pass.</w:t>
      </w:r>
      <w:r>
        <w:t xml:space="preserve"> Wrap </w:t>
      </w:r>
      <w:r>
        <w:rPr>
          <w:rFonts w:ascii="Consolas" w:hAnsi="Consolas"/>
          <w:sz w:val="19"/>
        </w:rPr>
        <w:t>/platform/billing</w:t>
      </w:r>
      <w:r>
        <w:t xml:space="preserve"> (</w:t>
      </w:r>
      <w:r>
        <w:rPr>
          <w:rFonts w:ascii="Consolas" w:hAnsi="Consolas"/>
          <w:sz w:val="19"/>
        </w:rPr>
        <w:t>BillingAdmin</w:t>
      </w:r>
      <w:r>
        <w:t xml:space="preserve"> tables) in </w:t>
      </w:r>
      <w:r>
        <w:rPr>
          <w:rFonts w:ascii="Consolas" w:hAnsi="Consolas"/>
          <w:sz w:val="19"/>
        </w:rPr>
        <w:t>ModulePage</w:t>
      </w:r>
      <w:r>
        <w:t xml:space="preserve">, optionally with a </w:t>
      </w:r>
      <w:r>
        <w:rPr>
          <w:rFonts w:ascii="Consolas" w:hAnsi="Consolas"/>
          <w:sz w:val="19"/>
        </w:rPr>
        <w:t>TopGroupingNav</w:t>
      </w:r>
      <w:r>
        <w:t xml:space="preserve"> (Subscriptions · Invoices). Low risk, same pattern as AC-1/AC-2; reuse-only.</w:t>
      </w:r>
    </w:p>
    <w:p>
      <w:r>
        <w:rPr>
          <w:b/>
        </w:rPr>
        <w:t>After AC-4 Billing, every platform surface is standardized</w:t>
      </w:r>
      <w:r>
        <w:t>, completing Admin Center Alignment.</w:t>
      </w:r>
    </w:p>
    <w:p>
      <w:pPr>
        <w:pStyle w:val="Heading2"/>
      </w:pPr>
      <w:r>
        <w:rPr>
          <w:color w:val="1F497D"/>
        </w:rPr>
        <w:t>6. Awaiting your call</w:t>
      </w:r>
    </w:p>
    <w:p>
      <w:r>
        <w:t xml:space="preserve">Confirm </w:t>
      </w:r>
      <w:r>
        <w:rPr>
          <w:b/>
        </w:rPr>
        <w:t>skip AC-3</w:t>
      </w:r>
      <w:r>
        <w:t xml:space="preserve"> (moot under Hybrid) and </w:t>
      </w:r>
      <w:r>
        <w:rPr>
          <w:b/>
        </w:rPr>
        <w:t>proceed with AC-4 Billing</w:t>
      </w:r>
      <w:r>
        <w:t xml:space="preserve"> (shell-only) — then Admin Center Alignment is complete and the next workstream is </w:t>
      </w:r>
      <w:r>
        <w:rPr>
          <w:b/>
        </w:rPr>
        <w:t>P5 Customer Workbench</w:t>
      </w:r>
      <w:r>
        <w:t xml:space="preserve"> (preceded by the pre-P5 Permission Override Demonstration recorded in the roadmap backlog). CRM Evolution remains deferred.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