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Admin Center Alignment — Final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Admin Center Alignment — Final Completion Review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Workstream complete.</w:t>
      </w:r>
    </w:p>
    <w:p>
      <w:r>
        <w:t xml:space="preserve">Admin Center Alignment is done. Every </w:t>
      </w:r>
      <w:r>
        <w:rPr>
          <w:rFonts w:ascii="Consolas" w:hAnsi="Consolas"/>
          <w:sz w:val="19"/>
        </w:rPr>
        <w:t>/platform/*</w:t>
      </w:r>
      <w:r>
        <w:t xml:space="preserve"> surface now uses a shared container (AdminWorkbench or ModulePage). Delivered under the approved </w:t>
      </w:r>
      <w:r>
        <w:rPr>
          <w:b/>
        </w:rPr>
        <w:t>Hybrid</w:t>
      </w:r>
      <w:r>
        <w:t xml:space="preserve"> approach (shell-only; existing managers reused 100% verbatim; no deep 3-panel recomposition). All constraints held throughout: no business-logic, permission, RLS, workflow, or route change. Each step validated (tsc · full suite · build · gate check).</w:t>
      </w:r>
    </w:p>
    <w:p>
      <w:pPr>
        <w:pStyle w:val="Heading2"/>
      </w:pPr>
      <w:r>
        <w:rPr>
          <w:color w:val="1F497D"/>
        </w:rPr>
        <w:t>1. Completion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AC-1</w:t>
            </w:r>
          </w:p>
        </w:tc>
        <w:tc>
          <w:tcPr>
            <w:tcW w:type="dxa" w:w="2880"/>
          </w:tcPr>
          <w:p>
            <w:r>
              <w:t>ModulePage shells: Overview · Analytics · Activity · Copilot Analytics · Audit · Drugs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AC-2</w:t>
            </w:r>
          </w:p>
        </w:tc>
        <w:tc>
          <w:tcPr>
            <w:tcW w:type="dxa" w:w="2880"/>
          </w:tcPr>
          <w:p>
            <w:r>
              <w:t>ModulePage shells (managers unchanged): Plans · Roles · Staff · Entitlements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AC-3</w:t>
            </w:r>
          </w:p>
        </w:tc>
        <w:tc>
          <w:tcPr>
            <w:tcW w:type="dxa" w:w="2880"/>
          </w:tcPr>
          <w:p>
            <w:r>
              <w:t>EntityListPanel unification</w:t>
            </w:r>
          </w:p>
        </w:tc>
        <w:tc>
          <w:tcPr>
            <w:tcW w:type="dxa" w:w="2880"/>
          </w:tcPr>
          <w:p>
            <w:r>
              <w:t xml:space="preserve">⛔ </w:t>
            </w:r>
            <w:r>
              <w:rPr>
                <w:b/>
              </w:rPr>
              <w:t>Skipped</w:t>
            </w:r>
            <w:r>
              <w:t xml:space="preserve"> — moot under Hybrid (no manager recomposition → nothing to unify)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AC-4</w:t>
            </w:r>
          </w:p>
        </w:tc>
        <w:tc>
          <w:tcPr>
            <w:tcW w:type="dxa" w:w="2880"/>
          </w:tcPr>
          <w:p>
            <w:r>
              <w:t>ModulePage shell: Billing (BillingAdmin unchanged)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 xml:space="preserve">Every commit: </w:t>
      </w:r>
      <w:r>
        <w:rPr>
          <w:b/>
        </w:rPr>
        <w:t>tsc clean · 1596 tests passed · build green</w:t>
      </w:r>
      <w:r>
        <w:t>; platform gates (</w:t>
      </w:r>
      <w:r>
        <w:rPr>
          <w:rFonts w:ascii="Consolas" w:hAnsi="Consolas"/>
          <w:sz w:val="19"/>
        </w:rPr>
        <w:t>platformOwnerOnly</w:t>
      </w:r>
      <w:r>
        <w:t>/</w:t>
      </w:r>
      <w:r>
        <w:rPr>
          <w:rFonts w:ascii="Consolas" w:hAnsi="Consolas"/>
          <w:sz w:val="19"/>
        </w:rPr>
        <w:t>platformPerm</w:t>
      </w:r>
      <w:r>
        <w:t>/</w:t>
      </w:r>
      <w:r>
        <w:rPr>
          <w:rFonts w:ascii="Consolas" w:hAnsi="Consolas"/>
          <w:sz w:val="19"/>
        </w:rPr>
        <w:t>isOwner</w:t>
      </w:r>
      <w:r>
        <w:t>/</w:t>
      </w:r>
      <w:r>
        <w:rPr>
          <w:rFonts w:ascii="Consolas" w:hAnsi="Consolas"/>
          <w:sz w:val="19"/>
        </w:rPr>
        <w:t>manage_users</w:t>
      </w:r>
      <w:r>
        <w:t>/entitlement) verified unchanged; platform-governance invariants (</w:t>
      </w:r>
      <w:r>
        <w:rPr>
          <w:rFonts w:ascii="Consolas" w:hAnsi="Consolas"/>
          <w:sz w:val="19"/>
        </w:rPr>
        <w:t>navigation-routes.test.ts</w:t>
      </w:r>
      <w:r>
        <w:t>) still pass.</w:t>
      </w:r>
    </w:p>
    <w:p>
      <w:pPr>
        <w:pStyle w:val="Heading2"/>
      </w:pPr>
      <w:r>
        <w:rPr>
          <w:color w:val="1F497D"/>
        </w:rPr>
        <w:t>2. Before / After — container map</w:t>
      </w:r>
    </w:p>
    <w:p>
      <w:pPr>
        <w:ind w:left="240"/>
      </w:pPr>
      <w:r>
        <w:rPr>
          <w:rFonts w:ascii="Consolas" w:hAnsi="Consolas"/>
          <w:sz w:val="18"/>
        </w:rPr>
        <w:t>SURFACE                 BEFORE                 AFTER</w:t>
        <w:br/>
        <w:t>Companies               AdminWorkbench  ✅       AdminWorkbench</w:t>
        <w:br/>
        <w:t>Overview                bespoke &lt;div&gt;          ModulePage        (AC-1)</w:t>
        <w:br/>
        <w:t>Analytics               bespoke                ModulePage        (AC-1)</w:t>
        <w:br/>
        <w:t>Activity                bespoke                ModulePage        (AC-1)</w:t>
        <w:br/>
        <w:t>Copilot Analytics       bespoke                ModulePage        (AC-1)</w:t>
        <w:br/>
        <w:t>Audit                   bespoke                ModulePage        (AC-1)</w:t>
        <w:br/>
        <w:t>Drugs                   bespoke                ModulePage        (AC-1)</w:t>
        <w:br/>
        <w:t>Plans                   bespoke                ModulePage*       (AC-2)</w:t>
        <w:br/>
        <w:t>Roles                   bespoke                ModulePage*       (AC-2)</w:t>
        <w:br/>
        <w:t>Staff                   bespoke                ModulePage*       (AC-2)</w:t>
        <w:br/>
        <w:t>Entitlements            bespoke                ModulePage        (AC-2)</w:t>
        <w:br/>
        <w:t>Billing                 bespoke                ModulePage        (AC-4)</w:t>
      </w:r>
    </w:p>
    <w:p>
      <w:r>
        <w:rPr>
          <w:rFonts w:ascii="Consolas" w:hAnsi="Consolas"/>
          <w:sz w:val="19"/>
        </w:rPr>
        <w:t>*</w:t>
      </w:r>
      <w:r>
        <w:t xml:space="preserve"> = entity manager reused verbatim inside the shell (Hybrid; not the 3-panel workbench).</w:t>
      </w:r>
    </w:p>
    <w:p>
      <w:r>
        <w:rPr>
          <w:b/>
        </w:rPr>
        <w:t>Adoption:</w:t>
      </w:r>
      <w:r>
        <w:t xml:space="preserve"> shared container </w:t>
      </w:r>
      <w:r>
        <w:rPr>
          <w:b/>
        </w:rPr>
        <w:t>1/12 → 12/12</w:t>
      </w:r>
      <w:r>
        <w:t xml:space="preserve">. The provider rail (Overview · Tenants · Catalog · Billing · Team &amp; Access · Reference) is unchanged — this workstream standardized </w:t>
      </w:r>
      <w:r>
        <w:rPr>
          <w:b/>
        </w:rPr>
        <w:t>page containers</w:t>
      </w:r>
      <w:r>
        <w:t>, not navigation.</w:t>
      </w:r>
    </w:p>
    <w:p>
      <w:pPr>
        <w:pStyle w:val="Heading2"/>
      </w:pPr>
      <w:r>
        <w:rPr>
          <w:color w:val="1F497D"/>
        </w:rPr>
        <w:t>3. Remaining platform inconsistencies (intentionally deferred)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Disposition</w:t>
            </w:r>
          </w:p>
        </w:tc>
      </w:tr>
      <w:tr>
        <w:tc>
          <w:tcPr>
            <w:tcW w:type="dxa" w:w="2880"/>
          </w:tcPr>
          <w:p>
            <w:r>
              <w:t xml:space="preserve">Plans/Roles/Staff are </w:t>
            </w:r>
            <w:r>
              <w:rPr>
                <w:b/>
              </w:rPr>
              <w:t>not</w:t>
            </w:r>
            <w:r>
              <w:t xml:space="preserve"> the 3-panel AdminWorkbench (bespoke managers inside ModulePage)</w:t>
            </w:r>
          </w:p>
        </w:tc>
        <w:tc>
          <w:tcPr>
            <w:tcW w:type="dxa" w:w="2880"/>
          </w:tcPr>
          <w:p>
            <w:r>
              <w:t>by Hybrid 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Deep Workbench</w:t>
            </w:r>
            <w:r>
              <w:t xml:space="preserve"> = future, separately-approved initiative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EntityActionBar / ActivityFeed</w:t>
            </w:r>
            <w:r>
              <w:t xml:space="preserve"> not on platform entity pages</w:t>
            </w:r>
          </w:p>
        </w:tc>
        <w:tc>
          <w:tcPr>
            <w:tcW w:type="dxa" w:w="2880"/>
          </w:tcPr>
          <w:p>
            <w:r>
              <w:t>deferred</w:t>
            </w:r>
          </w:p>
        </w:tc>
        <w:tc>
          <w:tcPr>
            <w:tcW w:type="dxa" w:w="2880"/>
          </w:tcPr>
          <w:p>
            <w:r>
              <w:t>bundled with Deep Workbench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Two list models</w:t>
            </w:r>
            <w:r>
              <w:t xml:space="preserve"> coexist (Settings client </w:t>
            </w:r>
            <w:r>
              <w:rPr>
                <w:rFonts w:ascii="Consolas" w:hAnsi="Consolas"/>
                <w:sz w:val="19"/>
              </w:rPr>
              <w:t>EntityListPanel</w:t>
            </w:r>
            <w:r>
              <w:t xml:space="preserve"> ≤200 vs platform server pagination)</w:t>
            </w:r>
          </w:p>
        </w:tc>
        <w:tc>
          <w:tcPr>
            <w:tcW w:type="dxa" w:w="2880"/>
          </w:tcPr>
          <w:p>
            <w:r>
              <w:t>AC-3 parked</w:t>
            </w:r>
          </w:p>
        </w:tc>
        <w:tc>
          <w:tcPr>
            <w:tcW w:type="dxa" w:w="2880"/>
          </w:tcPr>
          <w:p>
            <w:r>
              <w:t>revisit only with Deep Workbench</w:t>
            </w:r>
          </w:p>
        </w:tc>
      </w:tr>
      <w:tr>
        <w:tc>
          <w:tcPr>
            <w:tcW w:type="dxa" w:w="2880"/>
          </w:tcPr>
          <w:p>
            <w:r>
              <w:t>Billing shows subscriptions + invoices as two stacked tables (not tabbed)</w:t>
            </w:r>
          </w:p>
        </w:tc>
        <w:tc>
          <w:tcPr>
            <w:tcW w:type="dxa" w:w="2880"/>
          </w:tcPr>
          <w:p>
            <w:r>
              <w:t>shell-only done; tabs optional</w:t>
            </w:r>
          </w:p>
        </w:tc>
        <w:tc>
          <w:tcPr>
            <w:tcW w:type="dxa" w:w="2880"/>
          </w:tcPr>
          <w:p>
            <w:r>
              <w:t>low value; leave unless requested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bespoke; Customer 360 timeline financial-only</w:t>
            </w:r>
          </w:p>
        </w:tc>
        <w:tc>
          <w:tcPr>
            <w:tcW w:type="dxa" w:w="2880"/>
          </w:tcPr>
          <w:p>
            <w:r>
              <w:t>out of Admin Center 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P5</w:t>
            </w:r>
            <w:r>
              <w:t xml:space="preserve"> / CRM Evolution</w:t>
            </w:r>
          </w:p>
        </w:tc>
      </w:tr>
    </w:tbl>
    <w:p/>
    <w:p>
      <w:r>
        <w:t>None are regressions; all are consistency/depth refinements held by explicit decision.</w:t>
      </w:r>
    </w:p>
    <w:p>
      <w:pPr>
        <w:pStyle w:val="Heading2"/>
      </w:pPr>
      <w:r>
        <w:rPr>
          <w:color w:val="1F497D"/>
        </w:rPr>
        <w:t>4. Recommended next workstream</w:t>
      </w:r>
    </w:p>
    <w:p>
      <w:r>
        <w:t xml:space="preserve">Per the approved program order and the standing </w:t>
      </w:r>
      <w:r>
        <w:rPr>
          <w:b/>
        </w:rPr>
        <w:t>consistency-before-features</w:t>
      </w:r>
      <w:r>
        <w:t xml:space="preserve"> priority:</w:t>
      </w:r>
    </w:p>
    <w:p>
      <w:pPr>
        <w:pStyle w:val="ListNumber"/>
      </w:pPr>
      <w:r>
        <w:rPr>
          <w:b/>
        </w:rPr>
        <w:t>Permission Override Demonstration</w:t>
      </w:r>
      <w:r>
        <w:t xml:space="preserve"> (roadmap backlog item 4) — the </w:t>
      </w:r>
      <w:r>
        <w:rPr>
          <w:b/>
        </w:rPr>
        <w:t>gate before P5</w:t>
      </w:r>
      <w:r>
        <w:t xml:space="preserve">. A practical walkthrough of role permissions, User Access Overrides (within the bounded allowlist), the effective resolution order, and the actual UI navigation path. </w:t>
      </w:r>
      <w:r>
        <w:rPr>
          <w:b/>
        </w:rPr>
        <w:t>Documentation/demonstration only — no code.</w:t>
      </w:r>
    </w:p>
    <w:p>
      <w:pPr>
        <w:pStyle w:val="ListNumber"/>
      </w:pPr>
      <w:r>
        <w:rPr>
          <w:b/>
        </w:rPr>
        <w:t>P5 — Customer Workbench</w:t>
      </w:r>
      <w:r>
        <w:t xml:space="preserve"> — begins after the demonstration is reviewed.</w:t>
      </w:r>
    </w:p>
    <w:p>
      <w:pPr>
        <w:pStyle w:val="ListNumber"/>
      </w:pPr>
      <w:r>
        <w:rPr>
          <w:b/>
        </w:rPr>
        <w:t>CRM Evolution</w:t>
      </w:r>
      <w:r>
        <w:t xml:space="preserve"> — remains deferred (new features; design-first).</w:t>
      </w:r>
    </w:p>
    <w:p>
      <w:pPr>
        <w:pStyle w:val="ListNumber"/>
      </w:pPr>
      <w:r>
        <w:rPr>
          <w:b/>
        </w:rPr>
        <w:t>Deep Workbench</w:t>
      </w:r>
      <w:r>
        <w:t xml:space="preserve"> (platform entity pages → full AdminWorkbench) — optional future initiative, if the value still stands after P5.</w:t>
      </w:r>
    </w:p>
    <w:p>
      <w:r>
        <w:rPr>
          <w:b/>
        </w:rPr>
        <w:t>Recommended immediate next step:</w:t>
      </w:r>
      <w:r>
        <w:t xml:space="preserve"> produce the </w:t>
      </w:r>
      <w:r>
        <w:rPr>
          <w:b/>
        </w:rPr>
        <w:t>Permission Override Demonstration</w:t>
      </w:r>
      <w:r>
        <w:t>, then start P5.</w:t>
      </w:r>
    </w:p>
    <w:p>
      <w:pPr>
        <w:pStyle w:val="Heading2"/>
      </w:pPr>
      <w:r>
        <w:rPr>
          <w:color w:val="1F497D"/>
        </w:rPr>
        <w:t>5. Status</w:t>
      </w:r>
    </w:p>
    <w:p>
      <w:pPr>
        <w:pStyle w:val="ListBullet"/>
      </w:pPr>
      <w:r>
        <w:rPr>
          <w:b/>
        </w:rPr>
        <w:t>Admin Center Alignment: complete</w:t>
      </w:r>
      <w:r>
        <w:t xml:space="preserve"> (AC-1 · AC-2 · AC-4; AC-3 skipped), all green, pushed.</w:t>
      </w:r>
    </w:p>
    <w:p>
      <w:pPr>
        <w:pStyle w:val="ListBullet"/>
      </w:pPr>
      <w:r>
        <w:t>Settings M1/M2/M3, platform nav cleanup (P1–P4), and the navigation primitives remain in place.</w:t>
      </w:r>
    </w:p>
    <w:p>
      <w:pPr>
        <w:pStyle w:val="ListBullet"/>
      </w:pPr>
      <w:r>
        <w:t xml:space="preserve">Awaiting your go to produce the </w:t>
      </w:r>
      <w:r>
        <w:rPr>
          <w:b/>
        </w:rPr>
        <w:t>pre-P5 Permission Override Demonstration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