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C2263B"/>
          <w:sz w:val="22"/>
        </w:rPr>
        <w:t>Roshen KSA Sales Dashboard</w:t>
      </w:r>
    </w:p>
    <w:p>
      <w:pPr>
        <w:spacing w:after="80"/>
      </w:pPr>
      <w:r>
        <w:rPr>
          <w:b/>
          <w:i w:val="0"/>
          <w:color w:val="1A2942"/>
          <w:sz w:val="42"/>
        </w:rPr>
        <w:t>Trade Spend Native Module — Final Delivery Report</w:t>
      </w:r>
    </w:p>
    <w:p>
      <w:pPr>
        <w:spacing w:after="40"/>
      </w:pPr>
      <w:r>
        <w:rPr>
          <w:b w:val="0"/>
          <w:i w:val="0"/>
          <w:color w:val="5A6B82"/>
          <w:sz w:val="20"/>
        </w:rPr>
        <w:t>17 July 2026 · full implementation authority</w:t>
      </w:r>
    </w:p>
    <w:p>
      <w:pPr>
        <w:spacing w:after="200"/>
      </w:pPr>
      <w:r>
        <w:rPr>
          <w:b/>
          <w:i w:val="0"/>
          <w:color w:val="1B7F4B"/>
        </w:rPr>
        <w:t>DELIVERED TO PRODUCTION. Trade Spend is live as a native mode of the Sales Dashboard at roshen-ksa-dashboard.vercel.app. All database migrations applied and verified. The legacy app remains untouched and running in parallel.</w:t>
      </w:r>
    </w:p>
    <w:p>
      <w:pPr>
        <w:pStyle w:val="Heading1"/>
      </w:pPr>
      <w:r>
        <w:t>1.  Architecture summary</w:t>
      </w:r>
    </w:p>
    <w:p>
      <w:pPr>
        <w:pStyle w:val="ListBullet"/>
        <w:spacing w:after="40"/>
      </w:pPr>
      <w:r>
        <w:t>One application: the Dashboard is the shell; Trade Spend is a mode beside Analytics/Profiles/Promo/Returns — sidebar section (Activity Log / New Activity / Analysis), mode-rail button, breadcrumbs, dark/light, responsive.</w:t>
      </w:r>
    </w:p>
    <w:p>
      <w:pPr>
        <w:pStyle w:val="ListBullet"/>
        <w:spacing w:after="40"/>
      </w:pPr>
      <w:r>
        <w:t>One namespace: everything under window.TS (auth / data / sales adapter / calc / UI / exports). Zero new Dashboard globals; module renders only when entered.</w:t>
      </w:r>
    </w:p>
    <w:p>
      <w:pPr>
        <w:pStyle w:val="ListBullet"/>
        <w:spacing w:after="40"/>
      </w:pPr>
      <w:r>
        <w:t>One database: the shared Roshen Supabase project. Module owns only the `activities` table; sales/customers/products/users/permissions come from the Dashboard model.</w:t>
      </w:r>
    </w:p>
    <w:p>
      <w:pPr>
        <w:pStyle w:val="ListBullet"/>
        <w:spacing w:after="40"/>
      </w:pPr>
      <w:r>
        <w:t>One sales source: the Dashboard's loaded dataset (sales_fact-derived). The module has NO Excel upload, NO embedded sales blob, NO IndexedDB cache.</w:t>
      </w:r>
    </w:p>
    <w:p>
      <w:pPr>
        <w:pStyle w:val="ListBullet"/>
        <w:spacing w:after="40"/>
      </w:pPr>
      <w:r>
        <w:t>One authorization model: Dashboard RBAC with the ts.* namespace. NO hardcoded emails anywhere in the module — person rights live in dash_users.overrides.ts.</w:t>
      </w:r>
    </w:p>
    <w:p>
      <w:pPr>
        <w:pStyle w:val="ListBullet"/>
        <w:spacing w:after="40"/>
      </w:pPr>
      <w:r>
        <w:t>Attribution path: sales rows → SKU → dash_sku_master.category (now 75/75 populated; brand/sub_category/segment columns ready for growth).</w:t>
      </w:r>
    </w:p>
    <w:p>
      <w:pPr>
        <w:pStyle w:val="Heading1"/>
      </w:pPr>
      <w:r>
        <w:t>2.  Files changed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33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public/roshen_dashboard.html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Trade Spend module integrated ON TOP OF the live production build. (Discovery: production had drifted ~600 KB ahead of the repo — features deployed straight to Vercel; the repo now mirrors production exactly, drift healed.)</w:t>
            </w:r>
          </w:p>
        </w:tc>
      </w:tr>
      <w:tr>
        <w:tc>
          <w:tcPr>
            <w:tcW w:type="dxa" w:w="316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public/trade_spend.html</w:t>
            </w:r>
          </w:p>
        </w:tc>
        <w:tc>
          <w:tcPr>
            <w:tcW w:type="dxa" w:w="63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UNTOUCHED — legacy runs in parallel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trade-spend-module/src/ts_module.js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Module source of truth (~1,400 lines), + ts_module.test.mjs (37 tests)</w:t>
            </w:r>
          </w:p>
        </w:tc>
      </w:tr>
      <w:tr>
        <w:tc>
          <w:tcPr>
            <w:tcW w:type="dxa" w:w="316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trade-spend-module/migrations/001–004.sql</w:t>
            </w:r>
          </w:p>
        </w:tc>
        <w:tc>
          <w:tcPr>
            <w:tcW w:type="dxa" w:w="63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The exact SQL applied to the Roshen project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trade-spend-module/reports/*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Conflict analysis, mapping CSV, screenshots, validation reports</w:t>
            </w:r>
          </w:p>
        </w:tc>
      </w:tr>
    </w:tbl>
    <w:p>
      <w:pPr>
        <w:spacing w:after="40"/>
      </w:pPr>
    </w:p>
    <w:p>
      <w:pPr>
        <w:pStyle w:val="Heading1"/>
      </w:pPr>
      <w:r>
        <w:t>3.  Database changes (applied &amp; verified live)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Migration</w:t>
            </w:r>
          </w:p>
        </w:tc>
        <w:tc>
          <w:tcPr>
            <w:tcW w:type="dxa" w:w="7344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Result (verified by query)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001 taxonomy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dash_sku_master + brand/category/sub_category/segment (nullable) + category index</w:t>
            </w:r>
          </w:p>
        </w:tc>
      </w:tr>
      <w:tr>
        <w:tc>
          <w:tcPr>
            <w:tcW w:type="dxa" w:w="216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002 ts.* RBAC</w:t>
            </w:r>
          </w:p>
        </w:tc>
        <w:tc>
          <w:tcPr>
            <w:tcW w:type="dxa" w:w="734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 ts.* permission keys; grants on all 7 dash roles; overrides.ts for Ahmed (Roshen), Muhammad (Relia), Dmytro ×2 (Final, read-only); final-approver accounts provisioned from their existing auth.users rows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003 category backfill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74-SKU category+brand mapping from the operational sales dataset</w:t>
            </w:r>
          </w:p>
        </w:tc>
      </w:tr>
      <w:tr>
        <w:tc>
          <w:tcPr>
            <w:tcW w:type="dxa" w:w="216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004 completion</w:t>
            </w:r>
          </w:p>
        </w:tc>
        <w:tc>
          <w:tcPr>
            <w:tcW w:type="dxa" w:w="734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Final 2 rows via name/product-family evidence → 75/75 SKUs categorized, 20 categories, brand='Roshen'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Category conflict resolution — correctness first: the operational dataset's per-SKU categories were cross-validated against Trade Spend history: 19/20 exact agreement, zero disagreements; the Fudgenta 1–1 tie resolved to 'Fudgenta 400 G' by both name evidence and the dataset. The two residual rows (a Cyrillic-С spelling variant and a not-yet-sold chocolate bar) were resolved by their exact product-family analogs.</w:t>
      </w:r>
    </w:p>
    <w:p>
      <w:pPr>
        <w:pStyle w:val="Heading1"/>
      </w:pPr>
      <w:r>
        <w:t>4.  Business logic changes</w:t>
      </w:r>
    </w:p>
    <w:p>
      <w:pPr>
        <w:pStyle w:val="ListBullet"/>
        <w:spacing w:after="40"/>
      </w:pPr>
      <w:r>
        <w:t>Faithful ports (formula-identical, test-covered): period windows (1/3/6/12-month rentals + 3-month default, next-activity truncation), uplift, ROI, verdict thresholds (0.2/0), overall status, record locking, TS-YYYY-NNN ids, 45-column Excel export.</w:t>
      </w:r>
    </w:p>
    <w:p>
      <w:pPr>
        <w:pStyle w:val="ListBullet"/>
        <w:spacing w:after="40"/>
      </w:pPr>
      <w:r>
        <w:t>Replaced by better designs: sales layer (dataset adapter with account index instead of upload+IndexedDB), auth (RBAC instead of hardcoded emails), sync (self-healing realtime + visibility-aware polling), photos (canvas downscale before storage), PDF libraries lazy-loaded on demand.</w:t>
      </w:r>
    </w:p>
    <w:p>
      <w:pPr>
        <w:pStyle w:val="ListBullet"/>
        <w:spacing w:after="40"/>
      </w:pPr>
      <w:r>
        <w:t>UX improvements: unified toolbar with instant search + status filter, sortable native table, inline role-gated approval buttons, live performance preview while filling the form, approval timeline in the detail modal, theme-aware analysis charts, toasts instead of alert().</w:t>
      </w:r>
    </w:p>
    <w:p>
      <w:pPr>
        <w:pStyle w:val="Heading1"/>
      </w:pPr>
      <w:r>
        <w:t>5. 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7200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Measure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Page size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+~90 KB on a ~20.8 MB page (≈0.4%)</w:t>
            </w:r>
          </w:p>
        </w:tc>
      </w:tr>
      <w:tr>
        <w:tc>
          <w:tcPr>
            <w:tcW w:type="dxa" w:w="230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Boot cost</w:t>
            </w:r>
          </w:p>
        </w:tc>
        <w:tc>
          <w:tcPr>
            <w:tcW w:type="dxa" w:w="72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None beyond namespace definition; module boots on first entry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Sales queries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O(customer's rows) per calculation via a once-built account index (97k rows indexed &lt;100 ms, cached per dataset version)</w:t>
            </w:r>
          </w:p>
        </w:tc>
      </w:tr>
      <w:tr>
        <w:tc>
          <w:tcPr>
            <w:tcW w:type="dxa" w:w="230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Other modes</w:t>
            </w:r>
          </w:p>
        </w:tc>
        <w:tc>
          <w:tcPr>
            <w:tcW w:type="dxa" w:w="720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Zero impact; polling pauses when hidden or in another mode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Legacy app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Unaffected</w:t>
            </w:r>
          </w:p>
        </w:tc>
      </w:tr>
    </w:tbl>
    <w:p>
      <w:pPr>
        <w:spacing w:after="40"/>
      </w:pPr>
    </w:p>
    <w:p>
      <w:pPr>
        <w:pStyle w:val="Heading1"/>
      </w:pPr>
      <w:r>
        <w:t>6.  Validation results</w:t>
      </w:r>
    </w:p>
    <w:p>
      <w:pPr>
        <w:pStyle w:val="ListBullet"/>
        <w:spacing w:after="40"/>
      </w:pPr>
      <w:r>
        <w:t>37/37 mechanical parity tests (calculations, windows, attribution, mapping round-trip).</w:t>
      </w:r>
    </w:p>
    <w:p>
      <w:pPr>
        <w:pStyle w:val="ListBullet"/>
        <w:spacing w:after="40"/>
      </w:pPr>
      <w:r>
        <w:t>node --check on every inline script of the deployed build (8 JS blocks).</w:t>
      </w:r>
    </w:p>
    <w:p>
      <w:pPr>
        <w:pStyle w:val="ListBullet"/>
        <w:spacing w:after="40"/>
      </w:pPr>
      <w:r>
        <w:t>Offline boot smoke on the exact production build: module renders (log/modal/form/analysis), the newer production shell's breadcrumbs pick the module up automatically, Analytics round-trip regression intact (8 KPI cards, overview tab).</w:t>
      </w:r>
    </w:p>
    <w:p>
      <w:pPr>
        <w:pStyle w:val="ListBullet"/>
        <w:spacing w:after="40"/>
      </w:pPr>
      <w:r>
        <w:t>Dark + light themes, 1440/1366/mobile layouts captured (reports/screenshots).</w:t>
      </w:r>
    </w:p>
    <w:p>
      <w:pPr>
        <w:pStyle w:val="ListBullet"/>
        <w:spacing w:after="40"/>
      </w:pPr>
      <w:r>
        <w:t>Approvals: role-gated buttons verified via the DB-override auth path; server-side RLS + final-approval trigger on `activities` unchanged and still enforcing.</w:t>
      </w:r>
    </w:p>
    <w:p>
      <w:pPr>
        <w:pStyle w:val="ListBullet"/>
        <w:spacing w:after="40"/>
      </w:pPr>
      <w:r>
        <w:t>Exports: Excel identical column set; PDF lazy-load path exercised.</w:t>
      </w:r>
    </w:p>
    <w:p>
      <w:pPr>
        <w:pStyle w:val="ListBullet"/>
        <w:spacing w:after="40"/>
      </w:pPr>
      <w:r>
        <w:t>Live production check: module markers served from roshen-ksa-dashboard.vercel.app; DB state verified by SQL (75/75 categories, 9 permissions, 7 roles, 4 override users).</w:t>
      </w:r>
    </w:p>
    <w:p>
      <w:pPr>
        <w:pStyle w:val="Heading1"/>
      </w:pPr>
      <w:r>
        <w:t>7.  Remaining technical debt</w:t>
      </w:r>
    </w:p>
    <w:p>
      <w:pPr>
        <w:pStyle w:val="ListBullet"/>
        <w:spacing w:after="40"/>
      </w:pPr>
      <w:r>
        <w:t>Legacy retirement: trade_spend.html and roshen-trade-spend.vercel.app still run in parallel BY DESIGN. Retire after real users have worked in the native module for an agreed period (suggested: 2–4 weeks of parallel use, then archive the legacy Vercel project and replace the file with a redirect).</w:t>
      </w:r>
    </w:p>
    <w:p>
      <w:pPr>
        <w:pStyle w:val="ListBullet"/>
        <w:spacing w:after="40"/>
      </w:pPr>
      <w:r>
        <w:t>Roshen-side approver: Ahmed currently signs into the legacy app; his Dashboard account holds ts.approve.roshen — he simply logs into the Dashboard now. Communicate the switch.</w:t>
      </w:r>
    </w:p>
    <w:p>
      <w:pPr>
        <w:pStyle w:val="ListBullet"/>
        <w:spacing w:after="40"/>
      </w:pPr>
      <w:r>
        <w:t>sub_category / segment columns are in place but empty — populate when the business defines them.</w:t>
      </w:r>
    </w:p>
    <w:p>
      <w:pPr>
        <w:pStyle w:val="ListBullet"/>
        <w:spacing w:after="40"/>
      </w:pPr>
      <w:r>
        <w:t>The Dashboard's versioned-JSON dataset remains its own pipeline; a future step could read sales_fact directly, but the current adapter is faster and matches what the Dashboard displays.</w:t>
      </w:r>
    </w:p>
    <w:p>
      <w:pPr>
        <w:pStyle w:val="ListBullet"/>
        <w:spacing w:after="40"/>
      </w:pPr>
      <w:r>
        <w:t>Single-file architecture: the dashboard remains one large HTML file. The module source lives separately (trade-spend-module/src) and is injected — a future build step could assemble the whole dashboard from partials.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29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C226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294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