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Visit-Frequency Resolution Layer —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Visit-Frequency Resolution Layer — Design Package</w:t>
      </w:r>
    </w:p>
    <w:p>
      <w:r>
        <w:rPr>
          <w:b/>
        </w:rPr>
        <w:t>Workstream:</w:t>
      </w:r>
      <w:r>
        <w:t xml:space="preserve"> Coverage &amp; Journey-Plan Engine → Frequency Authority Re-architecture (FR-1…FR-6)</w:t>
      </w:r>
    </w:p>
    <w:p>
      <w:r>
        <w:rPr>
          <w:b/>
        </w:rPr>
        <w:t>Status:</w:t>
      </w:r>
      <w:r>
        <w:t xml:space="preserve"> Design only — no implementation yet (gated methodology; awaiting approval)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Design Direction (restated)</w:t>
      </w:r>
    </w:p>
    <w:p>
      <w:r>
        <w:t xml:space="preserve">Customer-specific visit frequency is the </w:t>
      </w:r>
      <w:r>
        <w:rPr>
          <w:b/>
        </w:rPr>
        <w:t>primary source of truth</w:t>
      </w:r>
      <w:r>
        <w:t>. Classification</w:t>
      </w:r>
    </w:p>
    <w:p>
      <w:r>
        <w:t xml:space="preserve">(A/B/C) is a </w:t>
      </w:r>
      <w:r>
        <w:rPr>
          <w:b/>
        </w:rPr>
        <w:t>recommendation / auto-fill helper</w:t>
      </w:r>
      <w:r>
        <w:t>, never the default authority.</w:t>
      </w:r>
    </w:p>
    <w:p>
      <w:r>
        <w:rPr>
          <w:b/>
        </w:rPr>
        <w:t>Precedence (highest → lowest):</w:t>
      </w:r>
    </w:p>
    <w:p>
      <w:pPr>
        <w:pStyle w:val="ListNumber"/>
      </w:pPr>
      <w:r>
        <w:rPr>
          <w:b/>
        </w:rPr>
        <w:t>Customer-level frequency</w:t>
      </w:r>
      <w:r>
        <w:t xml:space="preserve"> — manual or imported (per customer)</w:t>
      </w:r>
    </w:p>
    <w:p>
      <w:pPr>
        <w:pStyle w:val="ListNumber"/>
      </w:pPr>
      <w:r>
        <w:rPr>
          <w:b/>
        </w:rPr>
        <w:t>Route / planning assignment</w:t>
      </w:r>
      <w:r>
        <w:t xml:space="preserve"> — frequency set in the planning context</w:t>
      </w:r>
    </w:p>
    <w:p>
      <w:pPr>
        <w:pStyle w:val="ListNumber"/>
      </w:pPr>
      <w:r>
        <w:rPr>
          <w:b/>
        </w:rPr>
        <w:t>Classification recommendation</w:t>
      </w:r>
      <w:r>
        <w:t xml:space="preserve"> — A/B/C → visits/week</w:t>
      </w:r>
    </w:p>
    <w:p>
      <w:pPr>
        <w:pStyle w:val="ListNumber"/>
      </w:pPr>
      <w:r>
        <w:rPr>
          <w:b/>
        </w:rPr>
        <w:t>System defaults</w:t>
      </w:r>
    </w:p>
    <w:p>
      <w:r>
        <w:t>Must support: Excel import, manual per-customer entry, Weekly / Biweekly / Monthly</w:t>
      </w:r>
    </w:p>
    <w:p>
      <w:r>
        <w:t xml:space="preserve">today, and Annual / Custom in future. Classification must </w:t>
      </w:r>
      <w:r>
        <w:rPr>
          <w:b/>
        </w:rPr>
        <w:t>not</w:t>
      </w:r>
      <w:r>
        <w:t xml:space="preserve"> override a</w:t>
      </w:r>
    </w:p>
    <w:p>
      <w:r>
        <w:t>customer-specific frequency unless a company explicitly opts in. Industry-agnostic</w:t>
      </w:r>
    </w:p>
    <w:p>
      <w:r>
        <w:t>(FMCG, Distribution, Wholesale, future verticals).</w:t>
      </w:r>
    </w:p>
    <w:p>
      <w:pPr>
        <w:pStyle w:val="Heading2"/>
      </w:pPr>
      <w:r>
        <w:rPr>
          <w:color w:val="1F497D"/>
        </w:rPr>
        <w:t>2. Current State (audit — grounded in code)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Today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fill="1F497D"/>
          </w:tcPr>
          <w:p/>
        </w:tc>
        <w:tc>
          <w:tcPr>
            <w:tcW w:type="dxa" w:w="1728"/>
            <w:shd w:val="clear" w:fill="1F497D"/>
          </w:tcPr>
          <w:p/>
        </w:tc>
      </w:tr>
      <w:tr>
        <w:tc>
          <w:tcPr>
            <w:tcW w:type="dxa" w:w="1728"/>
          </w:tcPr>
          <w:p>
            <w:r>
              <w:t>Per-customer frequency master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Does not exist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erp_customers</w:t>
            </w:r>
            <w:r>
              <w:t xml:space="preserve"> (no column)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Frequency source of truth</w:t>
            </w:r>
          </w:p>
        </w:tc>
        <w:tc>
          <w:tcPr>
            <w:tcW w:type="dxa" w:w="1728"/>
          </w:tcPr>
          <w:p>
            <w:r>
              <w:t>Classification only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route-optimization/frequency.ts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Classification → visits/week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erp_visit_frequency_rules</w:t>
            </w:r>
            <w:r>
              <w:t xml:space="preserve"> (company-configurable) + </w:t>
            </w:r>
            <w:r>
              <w:rPr>
                <w:rFonts w:ascii="Consolas" w:hAnsi="Consolas"/>
                <w:sz w:val="19"/>
              </w:rPr>
              <w:t>DEFAULT_FREQUENCY_RULES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, mig </w:t>
            </w:r>
            <w:r>
              <w:rPr>
                <w:rFonts w:ascii="Consolas" w:hAnsi="Consolas"/>
                <w:sz w:val="19"/>
              </w:rPr>
              <w:t>0215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Plan-row frequency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erp_journey_plans.frequency</w:t>
            </w:r>
            <w:r>
              <w:t xml:space="preserve"> (weekly\</w:t>
            </w:r>
          </w:p>
        </w:tc>
        <w:tc>
          <w:tcPr>
            <w:tcW w:type="dxa" w:w="1728"/>
          </w:tcPr>
          <w:p>
            <w:r>
              <w:t>biweekly\</w:t>
            </w:r>
          </w:p>
        </w:tc>
        <w:tc>
          <w:tcPr>
            <w:tcW w:type="dxa" w:w="1728"/>
          </w:tcPr>
          <w:p>
            <w:r>
              <w:t xml:space="preserve">monthly) — </w:t>
            </w:r>
            <w:r>
              <w:rPr>
                <w:b/>
              </w:rPr>
              <w:t>generated from classification, overwritten on every apply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journey-plan/actions.ts:127</w:t>
            </w:r>
          </w:p>
        </w:tc>
      </w:tr>
      <w:tr>
        <w:tc>
          <w:tcPr>
            <w:tcW w:type="dxa" w:w="1728"/>
          </w:tcPr>
          <w:p>
            <w:r>
              <w:t>Cadence enforcement</w:t>
            </w:r>
          </w:p>
        </w:tc>
        <w:tc>
          <w:tcPr>
            <w:tcW w:type="dxa" w:w="1728"/>
          </w:tcPr>
          <w:p>
            <w:r>
              <w:t xml:space="preserve">Reads </w:t>
            </w:r>
            <w:r>
              <w:rPr>
                <w:rFonts w:ascii="Consolas" w:hAnsi="Consolas"/>
                <w:sz w:val="19"/>
              </w:rPr>
              <w:t>erp_journey_plans.frequency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cadence.ts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erp_today_journey</w:t>
            </w:r>
            <w:r>
              <w:t xml:space="preserve"> (CJ-2)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Coverage status</w:t>
            </w:r>
          </w:p>
        </w:tc>
        <w:tc>
          <w:tcPr>
            <w:tcW w:type="dxa" w:w="1728"/>
          </w:tcPr>
          <w:p>
            <w:r>
              <w:t xml:space="preserve">Reads </w:t>
            </w:r>
            <w:r>
              <w:rPr>
                <w:rFonts w:ascii="Consolas" w:hAnsi="Consolas"/>
                <w:sz w:val="19"/>
              </w:rPr>
              <w:t>erp_journey_plans.frequency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coverage-status.ts</w:t>
            </w:r>
            <w:r>
              <w:t xml:space="preserve"> (CJ-3)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Frequency vocabulary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visits/week</w:t>
            </w:r>
            <w:r>
              <w:t xml:space="preserve"> float + 3-value enum (weekly/biweekly/monthly)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frequency.ts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Key finding:</w:t>
      </w:r>
      <w:r>
        <w:t xml:space="preserve"> </w:t>
      </w:r>
      <w:r>
        <w:rPr>
          <w:rFonts w:ascii="Consolas" w:hAnsi="Consolas"/>
          <w:sz w:val="19"/>
        </w:rPr>
        <w:t>erp_journey_plans.frequency</w:t>
      </w:r>
      <w:r>
        <w:t xml:space="preserve"> is *physically* per-customer, but it is</w:t>
      </w:r>
    </w:p>
    <w:p>
      <w:r>
        <w:rPr>
          <w:b/>
        </w:rPr>
        <w:t>derived from classification and clobbered on each generation</w:t>
      </w:r>
      <w:r>
        <w:t xml:space="preserve"> — so classification is</w:t>
      </w:r>
    </w:p>
    <w:p>
      <w:r>
        <w:t>the de-facto authority. There is no place a manually-set or imported customer frequency</w:t>
      </w:r>
    </w:p>
    <w:p>
      <w:r>
        <w:t>can live and survive regeneration. CJ-2 (cadence) and CJ-3 (coverage) already consume the</w:t>
      </w:r>
    </w:p>
    <w:p>
      <w:r>
        <w:t>plan-row frequency, so **once the resolver feeds the correct value into that column, both</w:t>
      </w:r>
    </w:p>
    <w:p>
      <w:r>
        <w:t>inherit the new precedence for free.**</w:t>
      </w:r>
    </w:p>
    <w:p>
      <w:pPr>
        <w:pStyle w:val="Heading2"/>
      </w:pPr>
      <w:r>
        <w:rPr>
          <w:color w:val="1F497D"/>
        </w:rPr>
        <w:t>3.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G-1</w:t>
            </w:r>
          </w:p>
        </w:tc>
        <w:tc>
          <w:tcPr>
            <w:tcW w:type="dxa" w:w="2880"/>
          </w:tcPr>
          <w:p>
            <w:r>
              <w:t>No customer-level frequency master (manual/imported)</w:t>
            </w:r>
          </w:p>
        </w:tc>
        <w:tc>
          <w:tcPr>
            <w:tcW w:type="dxa" w:w="2880"/>
          </w:tcPr>
          <w:p>
            <w:r>
              <w:t>Cannot honour precedence #1 at all</w:t>
            </w:r>
          </w:p>
        </w:tc>
      </w:tr>
      <w:tr>
        <w:tc>
          <w:tcPr>
            <w:tcW w:type="dxa" w:w="2880"/>
          </w:tcPr>
          <w:p>
            <w:r>
              <w:t>G-2</w:t>
            </w:r>
          </w:p>
        </w:tc>
        <w:tc>
          <w:tcPr>
            <w:tcW w:type="dxa" w:w="2880"/>
          </w:tcPr>
          <w:p>
            <w:r>
              <w:t>Classification is the default authority (generator writes it)</w:t>
            </w:r>
          </w:p>
        </w:tc>
        <w:tc>
          <w:tcPr>
            <w:tcW w:type="dxa" w:w="2880"/>
          </w:tcPr>
          <w:p>
            <w:r>
              <w:t>Inverts the desired precedence</w:t>
            </w:r>
          </w:p>
        </w:tc>
      </w:tr>
      <w:tr>
        <w:tc>
          <w:tcPr>
            <w:tcW w:type="dxa" w:w="2880"/>
          </w:tcPr>
          <w:p>
            <w:r>
              <w:t>G-3</w:t>
            </w:r>
          </w:p>
        </w:tc>
        <w:tc>
          <w:tcPr>
            <w:tcW w:type="dxa" w:w="2880"/>
          </w:tcPr>
          <w:p>
            <w:r>
              <w:t>No precedence resolver / no "company may let classification override" policy</w:t>
            </w:r>
          </w:p>
        </w:tc>
        <w:tc>
          <w:tcPr>
            <w:tcW w:type="dxa" w:w="2880"/>
          </w:tcPr>
          <w:p>
            <w:r>
              <w:t>No single, testable authority rule</w:t>
            </w:r>
          </w:p>
        </w:tc>
      </w:tr>
      <w:tr>
        <w:tc>
          <w:tcPr>
            <w:tcW w:type="dxa" w:w="2880"/>
          </w:tcPr>
          <w:p>
            <w:r>
              <w:t>G-4</w:t>
            </w:r>
          </w:p>
        </w:tc>
        <w:tc>
          <w:tcPr>
            <w:tcW w:type="dxa" w:w="2880"/>
          </w:tcPr>
          <w:p>
            <w:r>
              <w:t>No Excel-import or manual-entry path for frequency</w:t>
            </w:r>
          </w:p>
        </w:tc>
        <w:tc>
          <w:tcPr>
            <w:tcW w:type="dxa" w:w="2880"/>
          </w:tcPr>
          <w:p>
            <w:r>
              <w:t>Cannot ingest customer-specific cadence</w:t>
            </w:r>
          </w:p>
        </w:tc>
      </w:tr>
      <w:tr>
        <w:tc>
          <w:tcPr>
            <w:tcW w:type="dxa" w:w="2880"/>
          </w:tcPr>
          <w:p>
            <w:r>
              <w:t>G-5</w:t>
            </w:r>
          </w:p>
        </w:tc>
        <w:tc>
          <w:tcPr>
            <w:tcW w:type="dxa" w:w="2880"/>
          </w:tcPr>
          <w:p>
            <w:r>
              <w:t>Only weekly/biweekly/monthly; no annual/custom; vocabulary is FMCG-shaped</w:t>
            </w:r>
          </w:p>
        </w:tc>
        <w:tc>
          <w:tcPr>
            <w:tcW w:type="dxa" w:w="2880"/>
          </w:tcPr>
          <w:p>
            <w:r>
              <w:t>Not flexible across industries / future cadences</w:t>
            </w:r>
          </w:p>
        </w:tc>
      </w:tr>
    </w:tbl>
    <w:p/>
    <w:p>
      <w:pPr>
        <w:pStyle w:val="Heading2"/>
      </w:pPr>
      <w:r>
        <w:rPr>
          <w:color w:val="1F497D"/>
        </w:rPr>
        <w:t>4. Proposed Architecture</w:t>
      </w:r>
    </w:p>
    <w:p>
      <w:pPr>
        <w:pStyle w:val="Heading3"/>
      </w:pPr>
      <w:r>
        <w:t>4.1 Frequency value model (industry-agnostic)</w:t>
      </w:r>
    </w:p>
    <w:p>
      <w:r>
        <w:t>A normalized value object replaces the bare enum, with a backward-compatible token:</w:t>
      </w:r>
    </w:p>
    <w:p>
      <w:pPr>
        <w:ind w:left="240"/>
      </w:pPr>
      <w:r>
        <w:rPr>
          <w:rFonts w:ascii="Consolas" w:hAnsi="Consolas"/>
          <w:sz w:val="18"/>
        </w:rPr>
        <w:t>VisitFrequency = {</w:t>
        <w:br/>
        <w:t xml:space="preserve">  kind: 'weekly' | 'biweekly' | 'monthly' | 'annual' | 'custom',</w:t>
        <w:br/>
        <w:t xml:space="preserve">  everyN: number,          // e.g. monthly everyN=2 → every 2 months</w:t>
        <w:br/>
        <w:t xml:space="preserve">  visitsPerCycle: number,  // visits within one cycle (default 1)</w:t>
        <w:br/>
        <w:t>}</w:t>
      </w:r>
    </w:p>
    <w:p>
      <w:pPr>
        <w:pStyle w:val="ListBullet"/>
      </w:pPr>
      <w:r>
        <w:rPr>
          <w:b/>
        </w:rPr>
        <w:t>Canonical token</w:t>
      </w:r>
      <w:r>
        <w:t xml:space="preserve"> (string) stored on the customer, e.g. </w:t>
      </w:r>
      <w:r>
        <w:rPr>
          <w:rFonts w:ascii="Consolas" w:hAnsi="Consolas"/>
          <w:sz w:val="19"/>
        </w:rPr>
        <w:t>weekly</w:t>
      </w:r>
      <w:r>
        <w:t xml:space="preserve">, </w:t>
      </w:r>
      <w:r>
        <w:rPr>
          <w:rFonts w:ascii="Consolas" w:hAnsi="Consolas"/>
          <w:sz w:val="19"/>
        </w:rPr>
        <w:t>biweekly</w:t>
      </w:r>
      <w:r>
        <w:t>,</w:t>
      </w:r>
    </w:p>
    <w:p>
      <w:r>
        <w:rPr>
          <w:rFonts w:ascii="Consolas" w:hAnsi="Consolas"/>
          <w:sz w:val="19"/>
        </w:rPr>
        <w:t>monthly</w:t>
      </w:r>
      <w:r>
        <w:t xml:space="preserve">, </w:t>
      </w:r>
      <w:r>
        <w:rPr>
          <w:rFonts w:ascii="Consolas" w:hAnsi="Consolas"/>
          <w:sz w:val="19"/>
        </w:rPr>
        <w:t>monthly:every-2</w:t>
      </w:r>
      <w:r>
        <w:t xml:space="preserve">, </w:t>
      </w:r>
      <w:r>
        <w:rPr>
          <w:rFonts w:ascii="Consolas" w:hAnsi="Consolas"/>
          <w:sz w:val="19"/>
        </w:rPr>
        <w:t>annual</w:t>
      </w:r>
      <w:r>
        <w:t xml:space="preserve">, </w:t>
      </w:r>
      <w:r>
        <w:rPr>
          <w:rFonts w:ascii="Consolas" w:hAnsi="Consolas"/>
          <w:sz w:val="19"/>
        </w:rPr>
        <w:t>custom:…</w:t>
      </w:r>
      <w:r>
        <w:t>. Backward-compatible with the</w:t>
      </w:r>
    </w:p>
    <w:p>
      <w:r>
        <w:t xml:space="preserve">existing </w:t>
      </w:r>
      <w:r>
        <w:rPr>
          <w:rFonts w:ascii="Consolas" w:hAnsi="Consolas"/>
          <w:sz w:val="19"/>
        </w:rPr>
        <w:t>weekly|biweekly|monthly</w:t>
      </w:r>
      <w:r>
        <w:t xml:space="preserve"> enum (those tokens are unchanged).</w:t>
      </w:r>
    </w:p>
    <w:p>
      <w:pPr>
        <w:pStyle w:val="ListBullet"/>
      </w:pPr>
      <w:r>
        <w:rPr>
          <w:b/>
        </w:rPr>
        <w:t>`visitsPerWeek` float</w:t>
      </w:r>
      <w:r>
        <w:t xml:space="preserve"> remains the bridge to the current generator/spread logic.</w:t>
      </w:r>
    </w:p>
    <w:p>
      <w:pPr>
        <w:pStyle w:val="ListBullet"/>
      </w:pPr>
      <w:r>
        <w:t xml:space="preserve">Forward-compatible: </w:t>
      </w:r>
      <w:r>
        <w:rPr>
          <w:rFonts w:ascii="Consolas" w:hAnsi="Consolas"/>
          <w:sz w:val="19"/>
        </w:rPr>
        <w:t>annual</w:t>
      </w:r>
      <w:r>
        <w:t>/</w:t>
      </w:r>
      <w:r>
        <w:rPr>
          <w:rFonts w:ascii="Consolas" w:hAnsi="Consolas"/>
          <w:sz w:val="19"/>
        </w:rPr>
        <w:t>custom</w:t>
      </w:r>
      <w:r>
        <w:t xml:space="preserve"> carried in a </w:t>
      </w:r>
      <w:r>
        <w:rPr>
          <w:rFonts w:ascii="Consolas" w:hAnsi="Consolas"/>
          <w:sz w:val="19"/>
        </w:rPr>
        <w:t>jsonb</w:t>
      </w:r>
      <w:r>
        <w:t xml:space="preserve"> meta column; the existing</w:t>
      </w:r>
    </w:p>
    <w:p>
      <w:r>
        <w:t>cadence engine already treats unknown frequency as "always due" (CJ-2 forward-compat),</w:t>
      </w:r>
    </w:p>
    <w:p>
      <w:r>
        <w:t xml:space="preserve">so nothing breaks before FR-6 extends </w:t>
      </w:r>
      <w:r>
        <w:rPr>
          <w:rFonts w:ascii="Consolas" w:hAnsi="Consolas"/>
          <w:sz w:val="19"/>
        </w:rPr>
        <w:t>isVisitDueOn</w:t>
      </w:r>
      <w:r>
        <w:t>.</w:t>
      </w:r>
    </w:p>
    <w:p>
      <w:pPr>
        <w:pStyle w:val="Heading3"/>
      </w:pPr>
      <w:r>
        <w:t>4.2 The Resolver (pure, single authority)</w:t>
      </w:r>
    </w:p>
    <w:p>
      <w:pPr>
        <w:ind w:left="240"/>
      </w:pPr>
      <w:r>
        <w:rPr>
          <w:rFonts w:ascii="Consolas" w:hAnsi="Consolas"/>
          <w:sz w:val="18"/>
        </w:rPr>
        <w:t>resolveVisitFrequency({</w:t>
        <w:br/>
        <w:t xml:space="preserve">  customerLevel,      // #1  from erp_customers.visit_frequency (manual|import)</w:t>
        <w:br/>
        <w:t xml:space="preserve">  planningLevel,      // #2  from route/planning assignment</w:t>
        <w:br/>
        <w:t xml:space="preserve">  classification,     // #3  A/B/C → rules</w:t>
        <w:br/>
        <w:t xml:space="preserve">  rules,              // company visit-frequency rules</w:t>
        <w:br/>
        <w:t xml:space="preserve">  policy,             // { classificationCanOverride: boolean (default false) }</w:t>
        <w:br/>
        <w:t>}): { frequency, source, recommendation }</w:t>
      </w:r>
    </w:p>
    <w:p>
      <w:pPr>
        <w:pStyle w:val="ListBullet"/>
      </w:pPr>
      <w:r>
        <w:t xml:space="preserve">Walks the precedence chain and returns the </w:t>
      </w:r>
      <w:r>
        <w:rPr>
          <w:b/>
        </w:rPr>
        <w:t>first non-empty</w:t>
      </w:r>
      <w:r>
        <w:t xml:space="preserve"> candidate, tagging its</w:t>
      </w:r>
    </w:p>
    <w:p>
      <w:r>
        <w:rPr>
          <w:rFonts w:ascii="Consolas" w:hAnsi="Consolas"/>
          <w:sz w:val="19"/>
        </w:rPr>
        <w:t>source</w:t>
      </w:r>
      <w:r>
        <w:t xml:space="preserve"> (</w:t>
      </w:r>
      <w:r>
        <w:rPr>
          <w:rFonts w:ascii="Consolas" w:hAnsi="Consolas"/>
          <w:sz w:val="19"/>
        </w:rPr>
        <w:t>'manual' | 'import' | 'planning' | 'classification' | 'system'</w:t>
      </w:r>
      <w:r>
        <w:t>).</w:t>
      </w:r>
    </w:p>
    <w:p>
      <w:pPr>
        <w:pStyle w:val="ListBullet"/>
      </w:pPr>
      <w:r>
        <w:t xml:space="preserve">Classification's value is </w:t>
      </w:r>
      <w:r>
        <w:rPr>
          <w:b/>
        </w:rPr>
        <w:t>always</w:t>
      </w:r>
      <w:r>
        <w:t xml:space="preserve"> computed and returned as </w:t>
      </w:r>
      <w:r>
        <w:rPr>
          <w:rFonts w:ascii="Consolas" w:hAnsi="Consolas"/>
          <w:sz w:val="19"/>
        </w:rPr>
        <w:t>recommendation</w:t>
      </w:r>
      <w:r>
        <w:t xml:space="preserve"> (for the</w:t>
      </w:r>
    </w:p>
    <w:p>
      <w:r>
        <w:t>auto-fill helper + "recommended vs actual" UI), but it only becomes the resolved</w:t>
      </w:r>
    </w:p>
    <w:p>
      <w:r>
        <w:rPr>
          <w:rFonts w:ascii="Consolas" w:hAnsi="Consolas"/>
          <w:sz w:val="19"/>
        </w:rPr>
        <w:t>frequency</w:t>
      </w:r>
      <w:r>
        <w:t xml:space="preserve"> when nothing higher exists — </w:t>
      </w:r>
      <w:r>
        <w:rPr>
          <w:b/>
        </w:rPr>
        <w:t>or</w:t>
      </w:r>
      <w:r>
        <w:t xml:space="preserve"> when </w:t>
      </w:r>
      <w:r>
        <w:rPr>
          <w:rFonts w:ascii="Consolas" w:hAnsi="Consolas"/>
          <w:sz w:val="19"/>
        </w:rPr>
        <w:t>policy.classificationCanOverride</w:t>
      </w:r>
    </w:p>
    <w:p>
      <w:r>
        <w:t>is explicitly enabled by the company.</w:t>
      </w:r>
    </w:p>
    <w:p>
      <w:pPr>
        <w:pStyle w:val="ListBullet"/>
      </w:pPr>
      <w:r>
        <w:t>Pure and fully unit-tested; no I/O. This is the one place precedence is decided, so every</w:t>
      </w:r>
    </w:p>
    <w:p>
      <w:r>
        <w:t>surface (generator, cadence, coverage, dashboards) is consistent.</w:t>
      </w:r>
    </w:p>
    <w:p>
      <w:pPr>
        <w:pStyle w:val="Heading3"/>
      </w:pPr>
      <w:r>
        <w:t>4.3 Schema (additive · no backfill · no breaking change)</w:t>
      </w:r>
    </w:p>
    <w:p>
      <w:pPr>
        <w:pStyle w:val="ListBullet"/>
      </w:pPr>
      <w:r>
        <w:rPr>
          <w:rFonts w:ascii="Consolas" w:hAnsi="Consolas"/>
          <w:sz w:val="19"/>
        </w:rPr>
        <w:t>erp_customers.visit_frequency text NULL</w:t>
      </w:r>
      <w:r>
        <w:t xml:space="preserve"> — canonical token (provenance #1).</w:t>
      </w:r>
    </w:p>
    <w:p>
      <w:pPr>
        <w:pStyle w:val="ListBullet"/>
      </w:pPr>
      <w:r>
        <w:rPr>
          <w:rFonts w:ascii="Consolas" w:hAnsi="Consolas"/>
          <w:sz w:val="19"/>
        </w:rPr>
        <w:t>erp_customers.visit_frequency_source text NULL</w:t>
      </w:r>
      <w:r>
        <w:t xml:space="preserve"> — </w:t>
      </w:r>
      <w:r>
        <w:rPr>
          <w:rFonts w:ascii="Consolas" w:hAnsi="Consolas"/>
          <w:sz w:val="19"/>
        </w:rPr>
        <w:t>manual|import|classification|system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erp_customers.visit_frequency_meta jsonb NULL</w:t>
      </w:r>
      <w:r>
        <w:t xml:space="preserve"> — annual/custom detail (forward-compat).</w:t>
      </w:r>
    </w:p>
    <w:p>
      <w:pPr>
        <w:pStyle w:val="ListBullet"/>
      </w:pPr>
      <w:r>
        <w:t xml:space="preserve">Company policy </w:t>
      </w:r>
      <w:r>
        <w:rPr>
          <w:rFonts w:ascii="Consolas" w:hAnsi="Consolas"/>
          <w:sz w:val="19"/>
        </w:rPr>
        <w:t>journey.classification_can_override_customer_frequency boolean default false</w:t>
      </w:r>
    </w:p>
    <w:p>
      <w:r>
        <w:t>(reuse the existing company-settings mechanism — no new table).</w:t>
      </w:r>
    </w:p>
    <w:p>
      <w:r>
        <w:t>Null customer-level frequency ⇒ behaviour identical to today (classification path), so</w:t>
      </w:r>
    </w:p>
    <w:p>
      <w:r>
        <w:rPr>
          <w:b/>
        </w:rPr>
        <w:t>existing tenants are unaffected until they set values</w:t>
      </w:r>
      <w:r>
        <w:t>.</w:t>
      </w:r>
    </w:p>
    <w:p>
      <w:pPr>
        <w:pStyle w:val="Heading3"/>
      </w:pPr>
      <w:r>
        <w:t>4.4 Integration points (reuse-first)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applyJourneyProposal</w:t>
            </w:r>
          </w:p>
        </w:tc>
        <w:tc>
          <w:tcPr>
            <w:tcW w:type="dxa" w:w="4320"/>
          </w:tcPr>
          <w:p>
            <w:r>
              <w:t xml:space="preserve">Replace "classification → frequency" with </w:t>
            </w:r>
            <w:r>
              <w:rPr>
                <w:rFonts w:ascii="Consolas" w:hAnsi="Consolas"/>
                <w:sz w:val="19"/>
              </w:rPr>
              <w:t>resolveVisitFrequency</w:t>
            </w:r>
            <w:r>
              <w:t>; customer-level wins; classification only fills nulls (or when policy opts in)</w:t>
            </w:r>
          </w:p>
        </w:tc>
      </w:tr>
      <w:tr>
        <w:tc>
          <w:tcPr>
            <w:tcW w:type="dxa" w:w="4320"/>
          </w:tcPr>
          <w:p>
            <w:r>
              <w:t>Generator wizard</w:t>
            </w:r>
          </w:p>
        </w:tc>
        <w:tc>
          <w:tcPr>
            <w:tcW w:type="dxa" w:w="4320"/>
          </w:tcPr>
          <w:p>
            <w:r>
              <w:t xml:space="preserve">Show classification value as a </w:t>
            </w:r>
            <w:r>
              <w:rPr>
                <w:b/>
              </w:rPr>
              <w:t>recommendation</w:t>
            </w:r>
            <w:r>
              <w:t>; offer one-click auto-fill into the customer master (opt-in), never silent override</w:t>
            </w:r>
          </w:p>
        </w:tc>
      </w:tr>
      <w:tr>
        <w:tc>
          <w:tcPr>
            <w:tcW w:type="dxa" w:w="4320"/>
          </w:tcPr>
          <w:p>
            <w:r>
              <w:t>CustomerForm</w:t>
            </w:r>
          </w:p>
        </w:tc>
        <w:tc>
          <w:tcPr>
            <w:tcW w:type="dxa" w:w="4320"/>
          </w:tcPr>
          <w:p>
            <w:r>
              <w:t xml:space="preserve">Governed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 xml:space="preserve"> field (manual entry, source=</w:t>
            </w:r>
            <w:r>
              <w:rPr>
                <w:rFonts w:ascii="Consolas" w:hAnsi="Consolas"/>
                <w:sz w:val="19"/>
              </w:rPr>
              <w:t>manual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Customer 360</w:t>
            </w:r>
          </w:p>
        </w:tc>
        <w:tc>
          <w:tcPr>
            <w:tcW w:type="dxa" w:w="4320"/>
          </w:tcPr>
          <w:p>
            <w:r>
              <w:t>Display resolved frequency + its source badge alongside Coverage status</w:t>
            </w:r>
          </w:p>
        </w:tc>
      </w:tr>
      <w:tr>
        <w:tc>
          <w:tcPr>
            <w:tcW w:type="dxa" w:w="4320"/>
          </w:tcPr>
          <w:p>
            <w:r>
              <w:t>Customer import</w:t>
            </w:r>
          </w:p>
        </w:tc>
        <w:tc>
          <w:tcPr>
            <w:tcW w:type="dxa" w:w="4320"/>
          </w:tcPr>
          <w:p>
            <w:r>
              <w:t xml:space="preserve">Map a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 xml:space="preserve"> column (source=</w:t>
            </w:r>
            <w:r>
              <w:rPr>
                <w:rFonts w:ascii="Consolas" w:hAnsi="Consolas"/>
                <w:sz w:val="19"/>
              </w:rPr>
              <w:t>import</w:t>
            </w:r>
            <w:r>
              <w:t>) via the existing import pipeline</w:t>
            </w:r>
          </w:p>
        </w:tc>
      </w:tr>
      <w:tr>
        <w:tc>
          <w:tcPr>
            <w:tcW w:type="dxa" w:w="4320"/>
          </w:tcPr>
          <w:p>
            <w:r>
              <w:t>CJ-2 cadence / CJ-3 coverage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change</w:t>
            </w:r>
            <w:r>
              <w:t xml:space="preserve"> — they read the resolved plan-row frequency</w:t>
            </w:r>
          </w:p>
        </w:tc>
      </w:tr>
    </w:tbl>
    <w:p/>
    <w:p>
      <w:pPr>
        <w:pStyle w:val="Heading3"/>
      </w:pPr>
      <w:r>
        <w:t>4.5 Cross-industry flexibility</w:t>
      </w:r>
    </w:p>
    <w:p>
      <w:r>
        <w:t>The token model + resolver are vertical-neutral. The classification layer is pluggable</w:t>
      </w:r>
    </w:p>
    <w:p>
      <w:r>
        <w:t>(FMCG A/B/C, Wholesale tiers, Distribution grades) because it is just data feeding level #3.</w:t>
      </w:r>
    </w:p>
    <w:p>
      <w:r>
        <w:t>Company policy decides authority. No FMCG values are hardcoded (consistent with CJ-1).</w:t>
      </w:r>
    </w:p>
    <w:p>
      <w:pPr>
        <w:pStyle w:val="Heading2"/>
      </w:pPr>
      <w:r>
        <w:rPr>
          <w:color w:val="1F497D"/>
        </w:rPr>
        <w:t>5.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frequency.ts</w:t>
            </w:r>
            <w:r>
              <w:t xml:space="preserve"> (rules, visits/week, spread)</w:t>
            </w:r>
          </w:p>
        </w:tc>
        <w:tc>
          <w:tcPr>
            <w:tcW w:type="dxa" w:w="4320"/>
          </w:tcPr>
          <w:p>
            <w:r>
              <w:t>Wrapped by resolver — kept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cadence.ts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erp_today_journey</w:t>
            </w:r>
            <w:r>
              <w:t xml:space="preserve"> (CJ-2)</w:t>
            </w:r>
          </w:p>
        </w:tc>
        <w:tc>
          <w:tcPr>
            <w:tcW w:type="dxa" w:w="4320"/>
          </w:tcPr>
          <w:p>
            <w:r>
              <w:t>Unchanged — inherits precedence via plan-row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coverage-status.ts</w:t>
            </w:r>
            <w:r>
              <w:t xml:space="preserve"> (CJ-3)</w:t>
            </w:r>
          </w:p>
        </w:tc>
        <w:tc>
          <w:tcPr>
            <w:tcW w:type="dxa" w:w="4320"/>
          </w:tcPr>
          <w:p>
            <w:r>
              <w:t>Unchanged — inherits precedence via plan-row</w:t>
            </w:r>
          </w:p>
        </w:tc>
      </w:tr>
      <w:tr>
        <w:tc>
          <w:tcPr>
            <w:tcW w:type="dxa" w:w="4320"/>
          </w:tcPr>
          <w:p>
            <w:r>
              <w:t>Customer import pipeline</w:t>
            </w:r>
          </w:p>
        </w:tc>
        <w:tc>
          <w:tcPr>
            <w:tcW w:type="dxa" w:w="4320"/>
          </w:tcPr>
          <w:p>
            <w:r>
              <w:t>Extended with one column mapping</w:t>
            </w:r>
          </w:p>
        </w:tc>
      </w:tr>
      <w:tr>
        <w:tc>
          <w:tcPr>
            <w:tcW w:type="dxa" w:w="4320"/>
          </w:tcPr>
          <w:p>
            <w:r>
              <w:t>CustomerForm + field-governance</w:t>
            </w:r>
          </w:p>
        </w:tc>
        <w:tc>
          <w:tcPr>
            <w:tcW w:type="dxa" w:w="4320"/>
          </w:tcPr>
          <w:p>
            <w:r>
              <w:t>Extended with one governed field</w:t>
            </w:r>
          </w:p>
        </w:tc>
      </w:tr>
      <w:tr>
        <w:tc>
          <w:tcPr>
            <w:tcW w:type="dxa" w:w="4320"/>
          </w:tcPr>
          <w:p>
            <w:r>
              <w:t>Company settings</w:t>
            </w:r>
          </w:p>
        </w:tc>
        <w:tc>
          <w:tcPr>
            <w:tcW w:type="dxa" w:w="4320"/>
          </w:tcPr>
          <w:p>
            <w:r>
              <w:t>Reused for the override policy flag</w:t>
            </w:r>
          </w:p>
        </w:tc>
      </w:tr>
    </w:tbl>
    <w:p/>
    <w:p>
      <w:r>
        <w:rPr>
          <w:b/>
        </w:rPr>
        <w:t>Estimated reuse ≈ 80%.</w:t>
      </w:r>
      <w:r>
        <w:t xml:space="preserve"> Net-new: the value model, the resolver, three additive columns,</w:t>
      </w:r>
    </w:p>
    <w:p>
      <w:r>
        <w:t>one policy flag, two thin UI bindings, one import column.</w:t>
      </w:r>
    </w:p>
    <w:p>
      <w:pPr>
        <w:pStyle w:val="Heading2"/>
      </w:pPr>
      <w:r>
        <w:rPr>
          <w:color w:val="1F497D"/>
        </w:rPr>
        <w:t>6. Implementation Roadmap (phased, gated)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FR-1</w:t>
            </w:r>
          </w:p>
        </w:tc>
        <w:tc>
          <w:tcPr>
            <w:tcW w:type="dxa" w:w="2880"/>
          </w:tcPr>
          <w:p>
            <w:r>
              <w:t>Frequency value model + pure resolver + tests (no schema, no UI) — locks the precedence contract</w:t>
            </w:r>
          </w:p>
        </w:tc>
        <w:tc>
          <w:tcPr>
            <w:tcW w:type="dxa" w:w="2880"/>
          </w:tcPr>
          <w:p>
            <w:r>
              <w:t>~0.5d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FR-2</w:t>
            </w:r>
          </w:p>
        </w:tc>
        <w:tc>
          <w:tcPr>
            <w:tcW w:type="dxa" w:w="2880"/>
          </w:tcPr>
          <w:p>
            <w:r>
              <w:t xml:space="preserve">Additive schema (customer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 xml:space="preserve"> + source + meta) + company override policy; read path uses resolver</w:t>
            </w:r>
          </w:p>
        </w:tc>
        <w:tc>
          <w:tcPr>
            <w:tcW w:type="dxa" w:w="2880"/>
          </w:tcPr>
          <w:p>
            <w:r>
              <w:t>~0.5d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FR-3</w:t>
            </w:r>
          </w:p>
        </w:tc>
        <w:tc>
          <w:tcPr>
            <w:tcW w:type="dxa" w:w="2880"/>
          </w:tcPr>
          <w:p>
            <w:r>
              <w:t xml:space="preserve">Manual entry: governed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 xml:space="preserve"> field in CustomerForm + Customer 360 display</w:t>
            </w:r>
          </w:p>
        </w:tc>
        <w:tc>
          <w:tcPr>
            <w:tcW w:type="dxa" w:w="2880"/>
          </w:tcPr>
          <w:p>
            <w:r>
              <w:t>~0.5d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FR-4</w:t>
            </w:r>
          </w:p>
        </w:tc>
        <w:tc>
          <w:tcPr>
            <w:tcW w:type="dxa" w:w="2880"/>
          </w:tcPr>
          <w:p>
            <w:r>
              <w:t>Excel import mapping + provenance (</w:t>
            </w:r>
            <w:r>
              <w:rPr>
                <w:rFonts w:ascii="Consolas" w:hAnsi="Consolas"/>
                <w:sz w:val="19"/>
              </w:rPr>
              <w:t>source=import</w:t>
            </w:r>
            <w:r>
              <w:t>)</w:t>
            </w:r>
          </w:p>
        </w:tc>
        <w:tc>
          <w:tcPr>
            <w:tcW w:type="dxa" w:w="2880"/>
          </w:tcPr>
          <w:p>
            <w:r>
              <w:t>~0.5d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FR-5</w:t>
            </w:r>
          </w:p>
        </w:tc>
        <w:tc>
          <w:tcPr>
            <w:tcW w:type="dxa" w:w="2880"/>
          </w:tcPr>
          <w:p>
            <w:r>
              <w:t>Generator/apply uses resolver; classification becomes recommendation + opt-in auto-fill</w:t>
            </w:r>
          </w:p>
        </w:tc>
        <w:tc>
          <w:tcPr>
            <w:tcW w:type="dxa" w:w="2880"/>
          </w:tcPr>
          <w:p>
            <w:r>
              <w:t>~1d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FR-6</w:t>
            </w:r>
          </w:p>
        </w:tc>
        <w:tc>
          <w:tcPr>
            <w:tcW w:type="dxa" w:w="2880"/>
          </w:tcPr>
          <w:p>
            <w:r>
              <w:t xml:space="preserve">Annual / custom cadence (extend </w:t>
            </w:r>
            <w:r>
              <w:rPr>
                <w:rFonts w:ascii="Consolas" w:hAnsi="Consolas"/>
                <w:sz w:val="19"/>
              </w:rPr>
              <w:t>isVisitDueOn</w:t>
            </w:r>
            <w:r>
              <w:t xml:space="preserve"> + richer plan-row frequency) — forward-looking</w:t>
            </w:r>
          </w:p>
        </w:tc>
        <w:tc>
          <w:tcPr>
            <w:tcW w:type="dxa" w:w="2880"/>
          </w:tcPr>
          <w:p>
            <w:r>
              <w:t>~1d</w:t>
            </w:r>
          </w:p>
        </w:tc>
      </w:tr>
    </w:tbl>
    <w:p/>
    <w:p>
      <w:r>
        <w:rPr>
          <w:b/>
        </w:rPr>
        <w:t>Total ≈ 4 dev-days, fully phased.</w:t>
      </w:r>
      <w:r>
        <w:t xml:space="preserve"> FR-1→FR-3 deliver the precedence + manual override</w:t>
      </w:r>
    </w:p>
    <w:p>
      <w:r>
        <w:t>(the core of the direction); FR-4 adds import; FR-5 flips classification to recommendation;</w:t>
      </w:r>
    </w:p>
    <w:p>
      <w:r>
        <w:t>FR-6 unlocks future cadences.</w:t>
      </w:r>
    </w:p>
    <w:p>
      <w:pPr>
        <w:pStyle w:val="Heading2"/>
      </w:pPr>
      <w:r>
        <w:rPr>
          <w:color w:val="1F497D"/>
        </w:rPr>
        <w:t>7. Business Impact</w:t>
      </w:r>
    </w:p>
    <w:p>
      <w:pPr>
        <w:pStyle w:val="ListBullet"/>
      </w:pPr>
      <w:r>
        <w:rPr>
          <w:b/>
        </w:rPr>
        <w:t>Correctness:</w:t>
      </w:r>
      <w:r>
        <w:t xml:space="preserve"> field-set or imported customer cadence is honoured instead of being</w:t>
      </w:r>
    </w:p>
    <w:p>
      <w:r>
        <w:t>silently overwritten by classification — directly fixes the inverted authority.</w:t>
      </w:r>
    </w:p>
    <w:p>
      <w:pPr>
        <w:pStyle w:val="ListBullet"/>
      </w:pPr>
      <w:r>
        <w:rPr>
          <w:b/>
        </w:rPr>
        <w:t>Flexibility:</w:t>
      </w:r>
      <w:r>
        <w:t xml:space="preserve"> weekly/biweekly/monthly now, annual/custom later, across verticals.</w:t>
      </w:r>
    </w:p>
    <w:p>
      <w:pPr>
        <w:pStyle w:val="ListBullet"/>
      </w:pPr>
      <w:r>
        <w:rPr>
          <w:b/>
        </w:rPr>
        <w:t>Trust:</w:t>
      </w:r>
      <w:r>
        <w:t xml:space="preserve"> provenance (</w:t>
      </w:r>
      <w:r>
        <w:rPr>
          <w:rFonts w:ascii="Consolas" w:hAnsi="Consolas"/>
          <w:sz w:val="19"/>
        </w:rPr>
        <w:t>source</w:t>
      </w:r>
      <w:r>
        <w:t>) + "recommended vs actual" makes the cadence auditable.</w:t>
      </w:r>
    </w:p>
    <w:p>
      <w:pPr>
        <w:pStyle w:val="ListBullet"/>
      </w:pPr>
      <w:r>
        <w:rPr>
          <w:b/>
        </w:rPr>
        <w:t>No regression:</w:t>
      </w:r>
      <w:r>
        <w:t xml:space="preserve"> additive, no backfill; null customer-frequency = today's behaviour.</w:t>
      </w:r>
    </w:p>
    <w:p>
      <w:pPr>
        <w:pStyle w:val="Heading2"/>
      </w:pPr>
      <w:r>
        <w:rPr>
          <w:color w:val="1F497D"/>
        </w:rPr>
        <w:t>8. Recommendation</w:t>
      </w:r>
    </w:p>
    <w:p>
      <w:r>
        <w:t xml:space="preserve">Proceed </w:t>
      </w:r>
      <w:r>
        <w:rPr>
          <w:b/>
        </w:rPr>
        <w:t>FR-1 → FR-2 → FR-3</w:t>
      </w:r>
      <w:r>
        <w:t xml:space="preserve"> first (precedence contract + customer-level authority +</w:t>
      </w:r>
    </w:p>
    <w:p>
      <w:r>
        <w:t xml:space="preserve">manual entry), then </w:t>
      </w:r>
      <w:r>
        <w:rPr>
          <w:b/>
        </w:rPr>
        <w:t>FR-4</w:t>
      </w:r>
      <w:r>
        <w:t xml:space="preserve"> (import), then </w:t>
      </w:r>
      <w:r>
        <w:rPr>
          <w:b/>
        </w:rPr>
        <w:t>FR-5</w:t>
      </w:r>
      <w:r>
        <w:t xml:space="preserve"> (classification as recommendation),</w:t>
      </w:r>
    </w:p>
    <w:p>
      <w:r>
        <w:t xml:space="preserve">with </w:t>
      </w:r>
      <w:r>
        <w:rPr>
          <w:b/>
        </w:rPr>
        <w:t>FR-6</w:t>
      </w:r>
      <w:r>
        <w:t xml:space="preserve"> (annual/custom) as a forward-looking phase. One validated commit per phase,</w:t>
      </w:r>
    </w:p>
    <w:p>
      <w:r>
        <w:t>Word review package per the standard process. Awaiting approval before any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