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TIS Demo Tenant — Jeddah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TIS Demo Tenant — Jeddah (Permanent Reference Environment)</w:t>
      </w:r>
    </w:p>
    <w:p>
      <w:r>
        <w:rPr>
          <w:b/>
        </w:rPr>
        <w:t>Purpose:</w:t>
      </w:r>
      <w:r>
        <w:t xml:space="preserve"> A safe, deterministic synthetic sandbox for the whole TIS family — Territory Audit ·</w:t>
      </w:r>
    </w:p>
    <w:p>
      <w:r>
        <w:t>Geo Intelligence · Route Optimization · Visual Territory Planning · Sales Force Sizing.</w:t>
      </w:r>
    </w:p>
    <w:p>
      <w:r>
        <w:rPr>
          <w:b/>
        </w:rPr>
        <w:t>Safety:</w:t>
      </w:r>
      <w:r>
        <w:t xml:space="preserve"> In-repo synthetic data only. </w:t>
      </w:r>
      <w:r>
        <w:rPr>
          <w:b/>
        </w:rPr>
        <w:t>No production or pilot tenant is touched.</w:t>
      </w:r>
    </w:p>
    <w:p>
      <w:r>
        <w:rPr>
          <w:b/>
        </w:rPr>
        <w:t>Date:</w:t>
      </w:r>
      <w:r>
        <w:t xml:space="preserve"> 2026-06-19</w:t>
      </w:r>
    </w:p>
    <w:p>
      <w:pPr>
        <w:pStyle w:val="Heading2"/>
      </w:pPr>
      <w:r>
        <w:rPr>
          <w:color w:val="1F497D"/>
        </w:rPr>
        <w:t>1. What &amp; Where</w:t>
      </w:r>
    </w:p>
    <w:p>
      <w:pPr>
        <w:pStyle w:val="ListBullet"/>
      </w:pPr>
      <w:r>
        <w:rPr>
          <w:b/>
        </w:rPr>
        <w:t>Generator:</w:t>
      </w:r>
      <w:r>
        <w:t xml:space="preserve"> </w:t>
      </w:r>
      <w:r>
        <w:rPr>
          <w:rFonts w:ascii="Consolas" w:hAnsi="Consolas"/>
          <w:sz w:val="19"/>
        </w:rPr>
        <w:t>src/lib/tis/demo/jeddah.ts</w:t>
      </w:r>
      <w:r>
        <w:t xml:space="preserve"> — </w:t>
      </w:r>
      <w:r>
        <w:rPr>
          <w:rFonts w:ascii="Consolas" w:hAnsi="Consolas"/>
          <w:sz w:val="19"/>
        </w:rPr>
        <w:t>buildJeddahDemoDataset()</w:t>
      </w:r>
      <w:r>
        <w:t>. Pure, deterministic</w:t>
      </w:r>
    </w:p>
    <w:p>
      <w:r>
        <w:t xml:space="preserve">(seeded PRNG, seed </w:t>
      </w:r>
      <w:r>
        <w:rPr>
          <w:rFonts w:ascii="Consolas" w:hAnsi="Consolas"/>
          <w:sz w:val="19"/>
        </w:rPr>
        <w:t>20260619</w:t>
      </w:r>
      <w:r>
        <w:t xml:space="preserve">), so the dataset is </w:t>
      </w:r>
      <w:r>
        <w:rPr>
          <w:b/>
        </w:rPr>
        <w:t>stable and permanent</w:t>
      </w:r>
      <w:r>
        <w:t>.</w:t>
      </w:r>
    </w:p>
    <w:p>
      <w:pPr>
        <w:pStyle w:val="ListBullet"/>
      </w:pPr>
      <w:r>
        <w:rPr>
          <w:b/>
        </w:rPr>
        <w:t>Artifacts:</w:t>
      </w:r>
      <w:r>
        <w:t xml:space="preserve"> </w:t>
      </w:r>
      <w:r>
        <w:rPr>
          <w:rFonts w:ascii="Consolas" w:hAnsi="Consolas"/>
          <w:sz w:val="19"/>
        </w:rPr>
        <w:t>docs/tis-demo/</w:t>
      </w:r>
      <w:r>
        <w:t xml:space="preserve"> — coverage + route SVG maps + the scenario report, regenerated</w:t>
      </w:r>
    </w:p>
    <w:p>
      <w:r>
        <w:t xml:space="preserve">by </w:t>
      </w:r>
      <w:r>
        <w:rPr>
          <w:rFonts w:ascii="Consolas" w:hAnsi="Consolas"/>
          <w:sz w:val="19"/>
        </w:rPr>
        <w:t>npx vitest run src/lib/tis/demo</w:t>
      </w:r>
      <w:r>
        <w:t xml:space="preserve"> (the report test also asserts the dataset shape).</w:t>
      </w:r>
    </w:p>
    <w:p>
      <w:pPr>
        <w:pStyle w:val="ListBullet"/>
      </w:pPr>
      <w:r>
        <w:rPr>
          <w:b/>
        </w:rPr>
        <w:t>How it is consumed:</w:t>
      </w:r>
      <w:r>
        <w:t xml:space="preserve"> it builds a TIS-0 </w:t>
      </w:r>
      <w:r>
        <w:rPr>
          <w:rFonts w:ascii="Consolas" w:hAnsi="Consolas"/>
          <w:sz w:val="19"/>
        </w:rPr>
        <w:t>TisDataset</w:t>
      </w:r>
      <w:r>
        <w:t xml:space="preserve"> directly, so every TIS engine runs on</w:t>
      </w:r>
    </w:p>
    <w:p>
      <w:r>
        <w:t>it unchanged (it is the canonical Mode-C dataset). It can also be exported and re-loaded via the</w:t>
      </w:r>
    </w:p>
    <w:p>
      <w:r>
        <w:t>standalone upload path (Mode A) — same shape.</w:t>
      </w:r>
    </w:p>
    <w:p>
      <w:pPr>
        <w:pStyle w:val="Heading2"/>
      </w:pPr>
      <w:r>
        <w:rPr>
          <w:color w:val="1F497D"/>
        </w:rPr>
        <w:t>2. Dataset Profile (500 customers)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Profile</w:t>
            </w:r>
          </w:p>
        </w:tc>
      </w:tr>
      <w:tr>
        <w:tc>
          <w:tcPr>
            <w:tcW w:type="dxa" w:w="4320"/>
          </w:tcPr>
          <w:p>
            <w:r>
              <w:t>Count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500</w:t>
            </w:r>
          </w:p>
        </w:tc>
      </w:tr>
      <w:tr>
        <w:tc>
          <w:tcPr>
            <w:tcW w:type="dxa" w:w="4320"/>
          </w:tcPr>
          <w:p>
            <w:r>
              <w:t>City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Jeddah only</w:t>
            </w:r>
            <w:r>
              <w:t xml:space="preserve"> — 13 major sectors (Al-Balad · Al-Hamra · Al-Rawdah · Al-Salamah · Al-Naeem · Al-Shati · Al-Faisaliyah · Al-Aziziyah · Al-Safa · Al-Marwah · Al-Naseem · Obhur · Al-Khomrah)</w:t>
            </w:r>
          </w:p>
        </w:tc>
      </w:tr>
      <w:tr>
        <w:tc>
          <w:tcPr>
            <w:tcW w:type="dxa" w:w="4320"/>
          </w:tcPr>
          <w:p>
            <w:r>
              <w:t>Geo</w:t>
            </w:r>
          </w:p>
        </w:tc>
        <w:tc>
          <w:tcPr>
            <w:tcW w:type="dxa" w:w="4320"/>
          </w:tcPr>
          <w:p>
            <w:r>
              <w:t xml:space="preserve">Real lat/lng structure: sector-centred Gaussian scatter, </w:t>
            </w:r>
            <w:r>
              <w:rPr>
                <w:b/>
              </w:rPr>
              <w:t>21.2–21.9 N · 39.0–39.4 E</w:t>
            </w:r>
          </w:p>
        </w:tc>
      </w:tr>
      <w:tr>
        <w:tc>
          <w:tcPr>
            <w:tcW w:type="dxa" w:w="4320"/>
          </w:tcPr>
          <w:p>
            <w:r>
              <w:t>Grade mix</w:t>
            </w:r>
          </w:p>
        </w:tc>
        <w:tc>
          <w:tcPr>
            <w:tcW w:type="dxa" w:w="4320"/>
          </w:tcPr>
          <w:p>
            <w:r>
              <w:t>A ≈15% · B ≈30% · C ≈45% · D ≈10%</w:t>
            </w:r>
          </w:p>
        </w:tc>
      </w:tr>
      <w:tr>
        <w:tc>
          <w:tcPr>
            <w:tcW w:type="dxa" w:w="4320"/>
          </w:tcPr>
          <w:p>
            <w:r>
              <w:t>Sales value</w:t>
            </w:r>
          </w:p>
        </w:tc>
        <w:tc>
          <w:tcPr>
            <w:tcW w:type="dxa" w:w="4320"/>
          </w:tcPr>
          <w:p>
            <w:r>
              <w:t>Grade-correlated (A 30–80k · B 10–30k · C 2–10k · D 0.5–2k)</w:t>
            </w:r>
          </w:p>
        </w:tc>
      </w:tr>
      <w:tr>
        <w:tc>
          <w:tcPr>
            <w:tcW w:type="dxa" w:w="4320"/>
          </w:tcPr>
          <w:p>
            <w:r>
              <w:t>Frequency (FR)</w:t>
            </w:r>
          </w:p>
        </w:tc>
        <w:tc>
          <w:tcPr>
            <w:tcW w:type="dxa" w:w="4320"/>
          </w:tcPr>
          <w:p>
            <w:r>
              <w:t>A = 3×/week · B = 2×/week · C = weekly · D = biweekly</w:t>
            </w:r>
          </w:p>
        </w:tc>
      </w:tr>
      <w:tr>
        <w:tc>
          <w:tcPr>
            <w:tcW w:type="dxa" w:w="4320"/>
          </w:tcPr>
          <w:p>
            <w:r>
              <w:t>Assignment</w:t>
            </w:r>
          </w:p>
        </w:tc>
        <w:tc>
          <w:tcPr>
            <w:tcW w:type="dxa" w:w="4320"/>
          </w:tcPr>
          <w:p>
            <w:r>
              <w:t xml:space="preserve">~85% assigned (salesman + sector route) · ~15% </w:t>
            </w:r>
            <w:r>
              <w:rPr>
                <w:b/>
              </w:rPr>
              <w:t>unassigned</w:t>
            </w:r>
            <w:r>
              <w:t xml:space="preserve"> (white-space)</w:t>
            </w:r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on-track ≈55% · under ≈20% · never ≈15% · over ≈10% (unassigned skew to never-visited)</w:t>
            </w:r>
          </w:p>
        </w:tc>
      </w:tr>
      <w:tr>
        <w:tc>
          <w:tcPr>
            <w:tcW w:type="dxa" w:w="4320"/>
          </w:tcPr>
          <w:p>
            <w:r>
              <w:t>Health</w:t>
            </w:r>
          </w:p>
        </w:tc>
        <w:tc>
          <w:tcPr>
            <w:tcW w:type="dxa" w:w="4320"/>
          </w:tcPr>
          <w:p>
            <w:r>
              <w:t>Derived from coverage (Mode-C reference): on-track 75–95 … never-visited 10–40</w:t>
            </w:r>
          </w:p>
        </w:tc>
      </w:tr>
    </w:tbl>
    <w:p/>
    <w:p>
      <w:r>
        <w:rPr>
          <w:b/>
        </w:rPr>
        <w:t>Mode:</w:t>
      </w:r>
      <w:r>
        <w:t xml:space="preserve"> </w:t>
      </w:r>
      <w:r>
        <w:rPr>
          <w:b/>
        </w:rPr>
        <w:t>C</w:t>
      </w:r>
      <w:r>
        <w:t xml:space="preserve"> (coverage + health present) — exercises every layer/overlay.</w:t>
      </w:r>
    </w:p>
    <w:p>
      <w:pPr>
        <w:pStyle w:val="Heading2"/>
      </w:pPr>
      <w:r>
        <w:rPr>
          <w:color w:val="1F497D"/>
        </w:rPr>
        <w:t>3. Territory Audit (on the demo)</w:t>
      </w:r>
    </w:p>
    <w:p>
      <w:r>
        <w:t>`{ customers: 500, coveragePct: 59.8%, gapCount: 201 (under+never), worstBalancePct: 77.1%,</w:t>
      </w:r>
    </w:p>
    <w:p>
      <w:r>
        <w:t>whiteSpaceCount: 143 }` — i.e. ~40% coverage gap and ~143 un-worked outlets to act on.</w:t>
      </w:r>
    </w:p>
    <w:p>
      <w:pPr>
        <w:pStyle w:val="Heading2"/>
      </w:pPr>
      <w:r>
        <w:rPr>
          <w:color w:val="1F497D"/>
        </w:rPr>
        <w:t>4. Scenario Comparison (Route Optimization)</w:t>
      </w:r>
    </w:p>
    <w:p>
      <w:r>
        <w:t>Generated with the RO-1 balancer (</w:t>
      </w:r>
      <w:r>
        <w:rPr>
          <w:rFonts w:ascii="Consolas" w:hAnsi="Consolas"/>
          <w:sz w:val="19"/>
        </w:rPr>
        <w:t>balanceRoutes</w:t>
      </w:r>
      <w:r>
        <w:t xml:space="preserve">) — balanced by </w:t>
      </w:r>
      <w:r>
        <w:rPr>
          <w:b/>
        </w:rPr>
        <w:t>workload</w:t>
      </w:r>
      <w:r>
        <w:t xml:space="preserve"> (and one</w:t>
      </w:r>
    </w:p>
    <w:p>
      <w:r>
        <w:rPr>
          <w:b/>
        </w:rPr>
        <w:t>value-balanced</w:t>
      </w:r>
      <w:r>
        <w:t xml:space="preserve"> run). Visits/week and total sales are constant (same customers; only routing</w:t>
      </w:r>
    </w:p>
    <w:p>
      <w:r>
        <w:t>changes).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F497D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1234"/>
            <w:shd w:val="clear" w:fill="1F497D"/>
          </w:tcPr>
          <w:p>
            <w:r>
              <w:rPr>
                <w:b/>
                <w:color w:val="FFFFFF"/>
              </w:rPr>
              <w:t>Routes</w:t>
            </w:r>
          </w:p>
        </w:tc>
        <w:tc>
          <w:tcPr>
            <w:tcW w:type="dxa" w:w="1234"/>
            <w:shd w:val="clear" w:fill="1F497D"/>
          </w:tcPr>
          <w:p>
            <w:r>
              <w:rPr>
                <w:b/>
                <w:color w:val="FFFFFF"/>
              </w:rPr>
              <w:t>Visits/wk</w:t>
            </w:r>
          </w:p>
        </w:tc>
        <w:tc>
          <w:tcPr>
            <w:tcW w:type="dxa" w:w="1234"/>
            <w:shd w:val="clear" w:fill="1F497D"/>
          </w:tcPr>
          <w:p>
            <w:r>
              <w:rPr>
                <w:b/>
                <w:color w:val="FFFFFF"/>
              </w:rPr>
              <w:t>Sales (SAR)</w:t>
            </w:r>
          </w:p>
        </w:tc>
        <w:tc>
          <w:tcPr>
            <w:tcW w:type="dxa" w:w="1234"/>
            <w:shd w:val="clear" w:fill="1F497D"/>
          </w:tcPr>
          <w:p>
            <w:r>
              <w:rPr>
                <w:b/>
                <w:color w:val="FFFFFF"/>
              </w:rPr>
              <w:t>Distance</w:t>
            </w:r>
          </w:p>
        </w:tc>
        <w:tc>
          <w:tcPr>
            <w:tcW w:type="dxa" w:w="1234"/>
            <w:shd w:val="clear" w:fill="1F497D"/>
          </w:tcPr>
          <w:p>
            <w:r>
              <w:rPr>
                <w:b/>
                <w:color w:val="FFFFFF"/>
              </w:rPr>
              <w:t>Workload balance</w:t>
            </w:r>
          </w:p>
        </w:tc>
        <w:tc>
          <w:tcPr>
            <w:tcW w:type="dxa" w:w="1234"/>
            <w:shd w:val="clear" w:fill="1F497D"/>
          </w:tcPr>
          <w:p>
            <w:r>
              <w:rPr>
                <w:b/>
                <w:color w:val="FFFFFF"/>
              </w:rPr>
              <w:t>Value balance</w:t>
            </w:r>
          </w:p>
        </w:tc>
      </w:tr>
      <w:tr>
        <w:tc>
          <w:tcPr>
            <w:tcW w:type="dxa" w:w="1234"/>
          </w:tcPr>
          <w:p>
            <w:r>
              <w:t>4 routes (workload)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747</w:t>
            </w:r>
          </w:p>
        </w:tc>
        <w:tc>
          <w:tcPr>
            <w:tcW w:type="dxa" w:w="1234"/>
          </w:tcPr>
          <w:p>
            <w:r>
              <w:t>8,081,848</w:t>
            </w:r>
          </w:p>
        </w:tc>
        <w:tc>
          <w:tcPr>
            <w:tcW w:type="dxa" w:w="1234"/>
          </w:tcPr>
          <w:p>
            <w:r>
              <w:t>423.6 km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99.5%</w:t>
            </w:r>
          </w:p>
        </w:tc>
        <w:tc>
          <w:tcPr>
            <w:tcW w:type="dxa" w:w="1234"/>
          </w:tcPr>
          <w:p>
            <w:r>
              <w:t>70.4%</w:t>
            </w:r>
          </w:p>
        </w:tc>
      </w:tr>
      <w:tr>
        <w:tc>
          <w:tcPr>
            <w:tcW w:type="dxa" w:w="1234"/>
          </w:tcPr>
          <w:p>
            <w:r>
              <w:t>6 routes (workload)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747</w:t>
            </w:r>
          </w:p>
        </w:tc>
        <w:tc>
          <w:tcPr>
            <w:tcW w:type="dxa" w:w="1234"/>
          </w:tcPr>
          <w:p>
            <w:r>
              <w:t>8,081,848</w:t>
            </w:r>
          </w:p>
        </w:tc>
        <w:tc>
          <w:tcPr>
            <w:tcW w:type="dxa" w:w="1234"/>
          </w:tcPr>
          <w:p>
            <w:r>
              <w:t>436.4 km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99.5%</w:t>
            </w:r>
          </w:p>
        </w:tc>
        <w:tc>
          <w:tcPr>
            <w:tcW w:type="dxa" w:w="1234"/>
          </w:tcPr>
          <w:p>
            <w:r>
              <w:t>79.3%</w:t>
            </w:r>
          </w:p>
        </w:tc>
      </w:tr>
      <w:tr>
        <w:tc>
          <w:tcPr>
            <w:tcW w:type="dxa" w:w="1234"/>
          </w:tcPr>
          <w:p>
            <w:r>
              <w:t>8 routes (workload)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747</w:t>
            </w:r>
          </w:p>
        </w:tc>
        <w:tc>
          <w:tcPr>
            <w:tcW w:type="dxa" w:w="1234"/>
          </w:tcPr>
          <w:p>
            <w:r>
              <w:t>8,081,848</w:t>
            </w:r>
          </w:p>
        </w:tc>
        <w:tc>
          <w:tcPr>
            <w:tcW w:type="dxa" w:w="1234"/>
          </w:tcPr>
          <w:p>
            <w:r>
              <w:t>498.0 km</w:t>
            </w:r>
          </w:p>
        </w:tc>
        <w:tc>
          <w:tcPr>
            <w:tcW w:type="dxa" w:w="1234"/>
          </w:tcPr>
          <w:p>
            <w:r>
              <w:t>98.2%</w:t>
            </w:r>
          </w:p>
        </w:tc>
        <w:tc>
          <w:tcPr>
            <w:tcW w:type="dxa" w:w="1234"/>
          </w:tcPr>
          <w:p>
            <w:r>
              <w:t>79.4%</w:t>
            </w:r>
          </w:p>
        </w:tc>
      </w:tr>
      <w:tr>
        <w:tc>
          <w:tcPr>
            <w:tcW w:type="dxa" w:w="1234"/>
          </w:tcPr>
          <w:p>
            <w:r>
              <w:t>6 routes (value)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747</w:t>
            </w:r>
          </w:p>
        </w:tc>
        <w:tc>
          <w:tcPr>
            <w:tcW w:type="dxa" w:w="1234"/>
          </w:tcPr>
          <w:p>
            <w:r>
              <w:t>8,081,848</w:t>
            </w:r>
          </w:p>
        </w:tc>
        <w:tc>
          <w:tcPr>
            <w:tcW w:type="dxa" w:w="1234"/>
          </w:tcPr>
          <w:p>
            <w:r>
              <w:t>439.3 km</w:t>
            </w:r>
          </w:p>
        </w:tc>
        <w:tc>
          <w:tcPr>
            <w:tcW w:type="dxa" w:w="1234"/>
          </w:tcPr>
          <w:p>
            <w:r>
              <w:t>99.0%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99.0%</w:t>
            </w:r>
          </w:p>
        </w:tc>
      </w:tr>
    </w:tbl>
    <w:p/>
    <w:p>
      <w:r>
        <w:rPr>
          <w:b/>
        </w:rPr>
        <w:t>Reading it:</w:t>
      </w:r>
      <w:r>
        <w:t xml:space="preserve"> workload-balanced routes are near-perfectly even on visits (98–99.5%) but only</w:t>
      </w:r>
    </w:p>
    <w:p>
      <w:r>
        <w:t xml:space="preserve">70–79% even on sales; switching the objective to </w:t>
      </w:r>
      <w:r>
        <w:rPr>
          <w:b/>
        </w:rPr>
        <w:t>value</w:t>
      </w:r>
      <w:r>
        <w:t xml:space="preserve"> lifts value balance to 99% — exactly</w:t>
      </w:r>
    </w:p>
    <w:p>
      <w:r>
        <w:t xml:space="preserve">the "balance by workload </w:t>
      </w:r>
      <w:r>
        <w:rPr>
          <w:b/>
        </w:rPr>
        <w:t>or</w:t>
      </w:r>
      <w:r>
        <w:t xml:space="preserve"> value, not customer count" principle, demonstrated on real data.</w:t>
      </w:r>
    </w:p>
    <w:p>
      <w:r>
        <w:t>More routes ⇒ slightly more total distance (smaller, denser routes) — the classic trade-off a</w:t>
      </w:r>
    </w:p>
    <w:p>
      <w:r>
        <w:t>manager compares before applying.</w:t>
      </w:r>
    </w:p>
    <w:p>
      <w:pPr>
        <w:pStyle w:val="Heading2"/>
      </w:pPr>
      <w:r>
        <w:rPr>
          <w:color w:val="1F497D"/>
        </w:rPr>
        <w:t xml:space="preserve">5. Maps (artifacts in </w:t>
      </w:r>
      <w:r>
        <w:rPr>
          <w:rFonts w:ascii="Consolas" w:hAnsi="Consolas"/>
          <w:color w:val="1F497D"/>
          <w:sz w:val="19"/>
        </w:rPr>
        <w:t>docs/tis-demo/</w:t>
      </w:r>
      <w:r>
        <w:rPr>
          <w:color w:val="1F497D"/>
        </w:rPr>
        <w:t>)</w:t>
      </w:r>
    </w:p>
    <w:p>
      <w:pPr>
        <w:pStyle w:val="ListBullet"/>
      </w:pPr>
      <w:r>
        <w:rPr>
          <w:rFonts w:ascii="Consolas" w:hAnsi="Consolas"/>
          <w:sz w:val="19"/>
        </w:rPr>
        <w:t>jeddah-coverage.svg</w:t>
      </w:r>
      <w:r>
        <w:t xml:space="preserve"> — 500 customers coloured by coverage status.</w:t>
      </w:r>
    </w:p>
    <w:p>
      <w:pPr>
        <w:pStyle w:val="ListBullet"/>
      </w:pPr>
      <w:r>
        <w:rPr>
          <w:rFonts w:ascii="Consolas" w:hAnsi="Consolas"/>
          <w:sz w:val="19"/>
        </w:rPr>
        <w:t>jeddah-routes-4-workload.svg</w:t>
      </w:r>
      <w:r>
        <w:t xml:space="preserve"> · </w:t>
      </w:r>
      <w:r>
        <w:rPr>
          <w:rFonts w:ascii="Consolas" w:hAnsi="Consolas"/>
          <w:sz w:val="19"/>
        </w:rPr>
        <w:t>-6-workload.svg</w:t>
      </w:r>
      <w:r>
        <w:t xml:space="preserve"> · </w:t>
      </w:r>
      <w:r>
        <w:rPr>
          <w:rFonts w:ascii="Consolas" w:hAnsi="Consolas"/>
          <w:sz w:val="19"/>
        </w:rPr>
        <w:t>-8-workload.svg</w:t>
      </w:r>
      <w:r>
        <w:t xml:space="preserve"> — coloured by route.</w:t>
      </w:r>
    </w:p>
    <w:p>
      <w:pPr>
        <w:pStyle w:val="ListBullet"/>
      </w:pPr>
      <w:r>
        <w:rPr>
          <w:rFonts w:ascii="Consolas" w:hAnsi="Consolas"/>
          <w:sz w:val="19"/>
        </w:rPr>
        <w:t>jeddah-routes-6-value.svg</w:t>
      </w:r>
      <w:r>
        <w:t xml:space="preserve"> — value-balanced routing.</w:t>
      </w:r>
    </w:p>
    <w:p>
      <w:pPr>
        <w:ind w:left="360"/>
      </w:pPr>
      <w:r>
        <w:rPr>
          <w:i/>
        </w:rPr>
      </w:r>
      <w:r>
        <w:rPr>
          <w:i/>
        </w:rPr>
        <w:t>These are static SVG renders (lat/lng → viewport) emitted without a browser — the live</w:t>
      </w:r>
    </w:p>
    <w:p>
      <w:pPr>
        <w:ind w:left="360"/>
      </w:pPr>
      <w:r>
        <w:rPr>
          <w:i/>
        </w:rPr>
      </w:r>
      <w:r>
        <w:rPr>
          <w:i/>
        </w:rPr>
        <w:t>MapLibre surface (</w:t>
      </w:r>
      <w:r>
        <w:rPr>
          <w:rFonts w:ascii="Consolas" w:hAnsi="Consolas"/>
          <w:i/>
          <w:sz w:val="19"/>
        </w:rPr>
        <w:t>/distribution/geo</w:t>
      </w:r>
      <w:r>
        <w:rPr>
          <w:i/>
        </w:rPr>
        <w:t xml:space="preserve">, </w:t>
      </w:r>
      <w:r>
        <w:rPr>
          <w:rFonts w:ascii="Consolas" w:hAnsi="Consolas"/>
          <w:i/>
          <w:sz w:val="19"/>
        </w:rPr>
        <w:t>/distribution/route-optimizer</w:t>
      </w:r>
      <w:r>
        <w:rPr>
          <w:i/>
        </w:rPr>
        <w:t>) renders the same data</w:t>
      </w:r>
    </w:p>
    <w:p>
      <w:pPr>
        <w:ind w:left="360"/>
      </w:pPr>
      <w:r>
        <w:rPr>
          <w:i/>
        </w:rPr>
      </w:r>
      <w:r>
        <w:rPr>
          <w:i/>
        </w:rPr>
        <w:t>interactively. Screenshots of the live UI require a browser session, which this headless build</w:t>
      </w:r>
    </w:p>
    <w:p>
      <w:pPr>
        <w:ind w:left="360"/>
      </w:pPr>
      <w:r>
        <w:rPr>
          <w:i/>
        </w:rPr>
      </w:r>
      <w:r>
        <w:rPr>
          <w:i/>
        </w:rPr>
        <w:t>environment cannot capture.</w:t>
      </w:r>
    </w:p>
    <w:p>
      <w:pPr>
        <w:pStyle w:val="Heading2"/>
      </w:pPr>
      <w:r>
        <w:rPr>
          <w:color w:val="1F497D"/>
        </w:rPr>
        <w:t>6. Safety &amp; Reuse</w:t>
      </w:r>
    </w:p>
    <w:p>
      <w:pPr>
        <w:pStyle w:val="ListBullet"/>
      </w:pPr>
      <w:r>
        <w:rPr>
          <w:b/>
        </w:rPr>
        <w:t>No DB writes.</w:t>
      </w:r>
      <w:r>
        <w:t xml:space="preserve"> This is in-repo synthetic data; no production/pilot tenant is created or</w:t>
      </w:r>
    </w:p>
    <w:p>
      <w:r>
        <w:t>modified. If a *real* sandbox tenant is later wanted, a seed can be derived from this exact</w:t>
      </w:r>
    </w:p>
    <w:p>
      <w:r>
        <w:t>dataset and applied to a sandbox database by ops — out of scope here by design.</w:t>
      </w:r>
    </w:p>
    <w:p>
      <w:pPr>
        <w:pStyle w:val="ListBullet"/>
      </w:pPr>
      <w:r>
        <w:rPr>
          <w:b/>
        </w:rPr>
        <w:t>Permanent reference:</w:t>
      </w:r>
      <w:r>
        <w:t xml:space="preserve"> every TIS workstream (Audit · Geo · Route Optimization · Visual</w:t>
      </w:r>
    </w:p>
    <w:p>
      <w:r>
        <w:t xml:space="preserve">Planning · Sales Force Sizing) can use </w:t>
      </w:r>
      <w:r>
        <w:rPr>
          <w:rFonts w:ascii="Consolas" w:hAnsi="Consolas"/>
          <w:sz w:val="19"/>
        </w:rPr>
        <w:t>buildJeddahDemoDataset()</w:t>
      </w:r>
      <w:r>
        <w:t xml:space="preserve"> for demos, tests, and</w:t>
      </w:r>
    </w:p>
    <w:p>
      <w:r>
        <w:t>comparisons against a known, stable population.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