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Visit-Driven Route — Design Proposal</w:t>
      </w:r>
    </w:p>
    <w:p>
      <w:pPr>
        <w:jc w:val="center"/>
      </w:pPr>
      <w:r>
        <w:rPr>
          <w:i/>
          <w:sz w:val="21"/>
        </w:rPr>
        <w:t>Route becomes the primary operational workflow · design-first (no implementation) · 2026-06-14</w:t>
      </w:r>
    </w:p>
    <w:p>
      <w:r>
        <w:rPr>
          <w:b w:val="0"/>
          <w:i/>
        </w:rPr>
        <w:t>Visit lifecycle: Route Stop → Check-in → Customer Statement → Collect → Sell → Return → Print → Complete Visit → Next Customer. Reuse-only (no new module/engine). Additive, reversible, flag-safe.</w:t>
      </w:r>
    </w:p>
    <w:p>
      <w:pPr>
        <w:pStyle w:val="Heading1"/>
      </w:pPr>
      <w:r>
        <w:rPr>
          <w:color w:val="1F497D"/>
        </w:rPr>
        <w:t>1. Current workflow</w:t>
      </w:r>
    </w:p>
    <w:p>
      <w:r>
        <w:rPr>
          <w:b w:val="0"/>
          <w:i w:val="0"/>
        </w:rPr>
        <w:t>Route (/field/journey): stop list; per stop Check-in (GPS) · Photo · Call · blocked-reason — and it DEAD-ENDS at "Checked in". The visit context (/field/van-sales/statement/[id]) is complete (Statement + Collect/Sell/Return/Print) but is reached only via the Customer tile, not the route. Result: route = compliance, visit = selling — two modules, one broken seam.</w:t>
      </w:r>
    </w:p>
    <w:p>
      <w:pPr>
        <w:pStyle w:val="Heading1"/>
      </w:pPr>
      <w:r>
        <w:rPr>
          <w:color w:val="1F497D"/>
        </w:rPr>
        <w:t>2. Proposed workflow</w:t>
      </w:r>
    </w:p>
    <w:p>
      <w:r>
        <w:rPr>
          <w:b w:val="0"/>
          <w:i w:val="0"/>
        </w:rPr>
        <w:t>A single visit-session loop. Route is the spine; tapping a stop runs the existing GPS check-in AND opens the visit context; Complete Visit marks the stop visited and returns to the route with the next stop active.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Set by</w:t>
            </w:r>
          </w:p>
        </w:tc>
      </w:tr>
      <w:tr>
        <w:tc>
          <w:tcPr>
            <w:tcW w:type="dxa" w:w="2880"/>
          </w:tcPr>
          <w:p>
            <w:r>
              <w:t>planned</w:t>
            </w:r>
          </w:p>
        </w:tc>
        <w:tc>
          <w:tcPr>
            <w:tcW w:type="dxa" w:w="2880"/>
          </w:tcPr>
          <w:p>
            <w:r>
              <w:t>on route, not started</w:t>
            </w:r>
          </w:p>
        </w:tc>
        <w:tc>
          <w:tcPr>
            <w:tcW w:type="dxa" w:w="2880"/>
          </w:tcPr>
          <w:p>
            <w:r>
              <w:t>route plan</w:t>
            </w:r>
          </w:p>
        </w:tc>
      </w:tr>
      <w:tr>
        <w:tc>
          <w:tcPr>
            <w:tcW w:type="dxa" w:w="2880"/>
          </w:tcPr>
          <w:p>
            <w:r>
              <w:t>in_progress</w:t>
            </w:r>
          </w:p>
        </w:tc>
        <w:tc>
          <w:tcPr>
            <w:tcW w:type="dxa" w:w="2880"/>
          </w:tcPr>
          <w:p>
            <w:r>
              <w:t>checked-in, visit context open</w:t>
            </w:r>
          </w:p>
        </w:tc>
        <w:tc>
          <w:tcPr>
            <w:tcW w:type="dxa" w:w="2880"/>
          </w:tcPr>
          <w:p>
            <w:r>
              <w:t>Check-in (existing GPS RPC)</w:t>
            </w:r>
          </w:p>
        </w:tc>
      </w:tr>
      <w:tr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visit finished</w:t>
            </w:r>
          </w:p>
        </w:tc>
        <w:tc>
          <w:tcPr>
            <w:tcW w:type="dxa" w:w="2880"/>
          </w:tcPr>
          <w:p>
            <w:r>
              <w:t>Complete Visit (= existing visited mark)</w:t>
            </w:r>
          </w:p>
        </w:tc>
      </w:tr>
      <w:tr>
        <w:tc>
          <w:tcPr>
            <w:tcW w:type="dxa" w:w="2880"/>
          </w:tcPr>
          <w:p>
            <w:r>
              <w:t>blocked</w:t>
            </w:r>
          </w:p>
        </w:tc>
        <w:tc>
          <w:tcPr>
            <w:tcW w:type="dxa" w:w="2880"/>
          </w:tcPr>
          <w:p>
            <w:r>
              <w:t>could not visit</w:t>
            </w:r>
          </w:p>
        </w:tc>
        <w:tc>
          <w:tcPr>
            <w:tcW w:type="dxa" w:w="2880"/>
          </w:tcPr>
          <w:p>
            <w:r>
              <w:t>existing blocked-reason flow</w:t>
            </w:r>
          </w:p>
        </w:tc>
      </w:tr>
    </w:tbl>
    <w:p>
      <w:pPr>
        <w:pStyle w:val="ListBullet"/>
      </w:pPr>
      <w:r>
        <w:t>Check-in = start visit (one tap: GPS compliance + lands on the visit context).</w:t>
      </w:r>
    </w:p>
    <w:p>
      <w:pPr>
        <w:pStyle w:val="ListBullet"/>
      </w:pPr>
      <w:r>
        <w:t>Inside: Statement first, then Collect / Sell / Return / Print — already customer-scoped.</w:t>
      </w:r>
    </w:p>
    <w:p>
      <w:pPr>
        <w:pStyle w:val="ListBullet"/>
      </w:pPr>
      <w:r>
        <w:t>Complete Visit marks completed (existing visited/KPI) + optional outcome; Next Customer → route, next stop.</w:t>
      </w:r>
    </w:p>
    <w:p>
      <w:pPr>
        <w:pStyle w:val="ListBullet"/>
      </w:pPr>
      <w:r>
        <w:t>Off-route / walk-in via the Customer tile → same visit context (no check-in) — also closes parked F3.</w:t>
      </w:r>
    </w:p>
    <w:p>
      <w:pPr>
        <w:pStyle w:val="Heading1"/>
      </w:pPr>
      <w:r>
        <w:rPr>
          <w:color w:val="1F497D"/>
        </w:rPr>
        <w:t>3. Reused components</w:t>
      </w:r>
    </w:p>
    <w:p>
      <w:r>
        <w:rPr>
          <w:b/>
          <w:i w:val="0"/>
        </w:rPr>
        <w:t>Reused (the bulk — no logic change):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Need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Reused asset</w:t>
            </w:r>
          </w:p>
        </w:tc>
      </w:tr>
      <w:tr>
        <w:tc>
          <w:tcPr>
            <w:tcW w:type="dxa" w:w="4320"/>
          </w:tcPr>
          <w:p>
            <w:r>
              <w:t>Route stops, sequence, coverage KPI</w:t>
            </w:r>
          </w:p>
        </w:tc>
        <w:tc>
          <w:tcPr>
            <w:tcW w:type="dxa" w:w="4320"/>
          </w:tcPr>
          <w:p>
            <w:r>
              <w:t>field/journey/journey-screen.tsx</w:t>
            </w:r>
          </w:p>
        </w:tc>
      </w:tr>
      <w:tr>
        <w:tc>
          <w:tcPr>
            <w:tcW w:type="dxa" w:w="4320"/>
          </w:tcPr>
          <w:p>
            <w:r>
              <w:t>GPS check-in + blocked reason + offline queue</w:t>
            </w:r>
          </w:p>
        </w:tc>
        <w:tc>
          <w:tcPr>
            <w:tcW w:type="dxa" w:w="4320"/>
          </w:tcPr>
          <w:p>
            <w:r>
              <w:t>checkInVisit + journey flow</w:t>
            </w:r>
          </w:p>
        </w:tc>
      </w:tr>
      <w:tr>
        <w:tc>
          <w:tcPr>
            <w:tcW w:type="dxa" w:w="4320"/>
          </w:tcPr>
          <w:p>
            <w:r>
              <w:t>Visit context (Statement + Collect/Sell/Return/Print)</w:t>
            </w:r>
          </w:p>
        </w:tc>
        <w:tc>
          <w:tcPr>
            <w:tcW w:type="dxa" w:w="4320"/>
          </w:tcPr>
          <w:p>
            <w:r>
              <w:t>/field/van-sales/statement/[id] + CustomerStatementView (F1/F2)</w:t>
            </w:r>
          </w:p>
        </w:tc>
      </w:tr>
      <w:tr>
        <w:tc>
          <w:tcPr>
            <w:tcW w:type="dxa" w:w="4320"/>
          </w:tcPr>
          <w:p>
            <w:r>
              <w:t>Statement data (reconciling)</w:t>
            </w:r>
          </w:p>
        </w:tc>
        <w:tc>
          <w:tcPr>
            <w:tcW w:type="dxa" w:w="4320"/>
          </w:tcPr>
          <w:p>
            <w:r>
              <w:t>loadCustomerStatement</w:t>
            </w:r>
          </w:p>
        </w:tc>
      </w:tr>
      <w:tr>
        <w:tc>
          <w:tcPr>
            <w:tcW w:type="dxa" w:w="4320"/>
          </w:tcPr>
          <w:p>
            <w:r>
              <w:t>Collect / Sell / Return scoped to customer</w:t>
            </w:r>
          </w:p>
        </w:tc>
        <w:tc>
          <w:tcPr>
            <w:tcW w:type="dxa" w:w="4320"/>
          </w:tcPr>
          <w:p>
            <w:r>
              <w:t>existing screens (?customer=)</w:t>
            </w:r>
          </w:p>
        </w:tc>
      </w:tr>
      <w:tr>
        <w:tc>
          <w:tcPr>
            <w:tcW w:type="dxa" w:w="4320"/>
          </w:tcPr>
          <w:p>
            <w:r>
              <w:t>Invoice / receipt / statement print</w:t>
            </w:r>
          </w:p>
        </w:tc>
        <w:tc>
          <w:tcPr>
            <w:tcW w:type="dxa" w:w="4320"/>
          </w:tcPr>
          <w:p>
            <w:r>
              <w:t>existing /print/* templates</w:t>
            </w:r>
          </w:p>
        </w:tc>
      </w:tr>
      <w:tr>
        <w:tc>
          <w:tcPr>
            <w:tcW w:type="dxa" w:w="4320"/>
          </w:tcPr>
          <w:p>
            <w:r>
              <w:t>Off-route customer pick</w:t>
            </w:r>
          </w:p>
        </w:tc>
        <w:tc>
          <w:tcPr>
            <w:tcW w:type="dxa" w:w="4320"/>
          </w:tcPr>
          <w:p>
            <w:r>
              <w:t>/field/van-sales/customers (F1)</w:t>
            </w:r>
          </w:p>
        </w:tc>
      </w:tr>
    </w:tbl>
    <w:p>
      <w:r>
        <w:rPr>
          <w:b/>
          <w:i w:val="0"/>
        </w:rPr>
        <w:t>New (small, additive — UI/navigation only):</w:t>
      </w:r>
    </w:p>
    <w:p>
      <w:pPr>
        <w:pStyle w:val="ListBullet"/>
      </w:pPr>
      <w:r>
        <w:t>"Open visit" on each route stop → deep-link to the visit context (check-in first when not visited).</w:t>
      </w:r>
    </w:p>
    <w:p>
      <w:pPr>
        <w:pStyle w:val="ListBullet"/>
      </w:pPr>
      <w:r>
        <w:t>Route banner on the visit context (Stop x/y · Next: …), shown only when arrived from the route (?from=route).</w:t>
      </w:r>
    </w:p>
    <w:p>
      <w:pPr>
        <w:pStyle w:val="ListBullet"/>
      </w:pPr>
      <w:r>
        <w:t>"Complete Visit" + "Next Customer" control → mark visited (existing) + return to route, next stop active.</w:t>
      </w:r>
    </w:p>
    <w:p>
      <w:pPr>
        <w:pStyle w:val="ListBullet"/>
      </w:pPr>
      <w:r>
        <w:t>Visit-session position carried in the URL (?from=route&amp;seq=N) — no new table.</w:t>
      </w:r>
    </w:p>
    <w:p>
      <w:pPr>
        <w:pStyle w:val="ListBullet"/>
      </w:pPr>
      <w:r>
        <w:t>Phase 2 optional: visit outcome (sold / collected / no-order) attached to the existing visit/work-session record.</w:t>
      </w:r>
    </w:p>
    <w:p>
      <w:pPr>
        <w:pStyle w:val="Heading1"/>
      </w:pPr>
      <w:r>
        <w:rPr>
          <w:color w:val="1F497D"/>
        </w:rPr>
        <w:t>4.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t>Offline — check-in queues offline but the visit context needs data</w:t>
            </w:r>
          </w:p>
        </w:tc>
        <w:tc>
          <w:tcPr>
            <w:tcW w:type="dxa" w:w="4320"/>
          </w:tcPr>
          <w:p>
            <w:r>
              <w:t>Keep check-in offline-capable (unchanged); visit context degrades gracefully (online-first today); Phase-2 cache the day’s statements. Never block check-in on the context.</w:t>
            </w:r>
          </w:p>
        </w:tc>
      </w:tr>
      <w:tr>
        <w:tc>
          <w:tcPr>
            <w:tcW w:type="dxa" w:w="4320"/>
          </w:tcPr>
          <w:p>
            <w:r>
              <w:t>Compliance gating — should selling require check-in?</w:t>
            </w:r>
          </w:p>
        </w:tc>
        <w:tc>
          <w:tcPr>
            <w:tcW w:type="dxa" w:w="4320"/>
          </w:tcPr>
          <w:p>
            <w:r>
              <w:t>Phase 1 advisory; check-in-before-sell becomes a later policy toggle if needed.</w:t>
            </w:r>
          </w:p>
        </w:tc>
      </w:tr>
      <w:tr>
        <w:tc>
          <w:tcPr>
            <w:tcW w:type="dxa" w:w="4320"/>
          </w:tcPr>
          <w:p>
            <w:r>
              <w:t>GPS denied / far from customer</w:t>
            </w:r>
          </w:p>
        </w:tc>
        <w:tc>
          <w:tcPr>
            <w:tcW w:type="dxa" w:w="4320"/>
          </w:tcPr>
          <w:p>
            <w:r>
              <w:t>Reuse existing blocked-reason / distance handling; Open visit still works (recorded per current geofence rules).</w:t>
            </w:r>
          </w:p>
        </w:tc>
      </w:tr>
      <w:tr>
        <w:tc>
          <w:tcPr>
            <w:tcW w:type="dxa" w:w="4320"/>
          </w:tcPr>
          <w:p>
            <w:r>
              <w:t>Partial / resumed visits</w:t>
            </w:r>
          </w:p>
        </w:tc>
        <w:tc>
          <w:tcPr>
            <w:tcW w:type="dxa" w:w="4320"/>
          </w:tcPr>
          <w:p>
            <w:r>
              <w:t>in_progress = checked-in, not completed; re-tap reopens the same context; documents persist independently.</w:t>
            </w:r>
          </w:p>
        </w:tc>
      </w:tr>
      <w:tr>
        <w:tc>
          <w:tcPr>
            <w:tcW w:type="dxa" w:w="4320"/>
          </w:tcPr>
          <w:p>
            <w:r>
              <w:t>Double-counting / KPI integrity</w:t>
            </w:r>
          </w:p>
        </w:tc>
        <w:tc>
          <w:tcPr>
            <w:tcW w:type="dxa" w:w="4320"/>
          </w:tcPr>
          <w:p>
            <w:r>
              <w:t>Complete Visit reuses the existing visited set / coverage logic — no new counter.</w:t>
            </w:r>
          </w:p>
        </w:tc>
      </w:tr>
      <w:tr>
        <w:tc>
          <w:tcPr>
            <w:tcW w:type="dxa" w:w="4320"/>
          </w:tcPr>
          <w:p>
            <w:r>
              <w:t>Don’t break non-van field reps</w:t>
            </w:r>
          </w:p>
        </w:tc>
        <w:tc>
          <w:tcPr>
            <w:tcW w:type="dxa" w:w="4320"/>
          </w:tcPr>
          <w:p>
            <w:r>
              <w:t>Gate Open visit / banner behind Van Sales active so merchandising-only routes are unchanged.</w:t>
            </w:r>
          </w:p>
        </w:tc>
      </w:tr>
      <w:tr>
        <w:tc>
          <w:tcPr>
            <w:tcW w:type="dxa" w:w="4320"/>
          </w:tcPr>
          <w:p>
            <w:r>
              <w:t>Per-stop data load</w:t>
            </w:r>
          </w:p>
        </w:tc>
        <w:tc>
          <w:tcPr>
            <w:tcW w:type="dxa" w:w="4320"/>
          </w:tcPr>
          <w:p>
            <w:r>
              <w:t>Statement is one indexed read per customer, on demand (not pre-loaded for all stops).</w:t>
            </w:r>
          </w:p>
        </w:tc>
      </w:tr>
      <w:tr>
        <w:tc>
          <w:tcPr>
            <w:tcW w:type="dxa" w:w="4320"/>
          </w:tcPr>
          <w:p>
            <w:r>
              <w:t>Navigation depth / back button</w:t>
            </w:r>
          </w:p>
        </w:tc>
        <w:tc>
          <w:tcPr>
            <w:tcW w:type="dxa" w:w="4320"/>
          </w:tcPr>
          <w:p>
            <w:r>
              <w:t>Define back semantics: context Back → route; Next → route (replace, not push); avoid deep stacks.</w:t>
            </w:r>
          </w:p>
        </w:tc>
      </w:tr>
      <w:tr>
        <w:tc>
          <w:tcPr>
            <w:tcW w:type="dxa" w:w="4320"/>
          </w:tcPr>
          <w:p>
            <w:r>
              <w:t>Blocked customers mid-visit</w:t>
            </w:r>
          </w:p>
        </w:tc>
        <w:tc>
          <w:tcPr>
            <w:tcW w:type="dxa" w:w="4320"/>
          </w:tcPr>
          <w:p>
            <w:r>
              <w:t>Credit block + Collect-Now already handle this inside the context — no new path.</w:t>
            </w:r>
          </w:p>
        </w:tc>
      </w:tr>
    </w:tbl>
    <w:p>
      <w:pPr>
        <w:pStyle w:val="Heading1"/>
      </w:pPr>
      <w:r>
        <w:rPr>
          <w:color w:val="1F497D"/>
        </w:rPr>
        <w:t>5. Migration path</w:t>
      </w:r>
    </w:p>
    <w:p>
      <w:r>
        <w:rPr>
          <w:b w:val="0"/>
          <w:i w:val="0"/>
        </w:rPr>
        <w:t>Additive, reversible, flag-gated (platform.visit_driven_route, default OFF). OFF = today’s behaviour exactly (no regression).</w:t>
      </w:r>
    </w:p>
    <w:p>
      <w:r>
        <w:rPr>
          <w:b/>
          <w:i w:val="0"/>
        </w:rPr>
        <w:t>Phase 1 — the loop (small, reuse-only):</w:t>
      </w:r>
    </w:p>
    <w:p>
      <w:pPr>
        <w:pStyle w:val="ListBullet"/>
      </w:pPr>
      <w:r>
        <w:t>Open visit on each route stop (check-in → visit context, ?from=route&amp;seq=N).</w:t>
      </w:r>
    </w:p>
    <w:p>
      <w:pPr>
        <w:pStyle w:val="ListBullet"/>
      </w:pPr>
      <w:r>
        <w:t>Route banner + Complete Visit / Next Customer on the visit context when from=route.</w:t>
      </w:r>
    </w:p>
    <w:p>
      <w:pPr>
        <w:pStyle w:val="ListBullet"/>
      </w:pPr>
      <w:r>
        <w:t>Behind the flag; gated by Van Sales active; existing screens untouched when off.</w:t>
      </w:r>
    </w:p>
    <w:p>
      <w:pPr>
        <w:pStyle w:val="ListBullet"/>
      </w:pPr>
      <w:r>
        <w:t>Validate on the pilot: full route — Stop → Check-in → Statement → Collect → Sell → Return → Print → Complete → Next — confirm coverage KPI, GPS, documents + prints, and the statement reconciles.</w:t>
      </w:r>
    </w:p>
    <w:p>
      <w:r>
        <w:rPr>
          <w:b/>
          <w:i w:val="0"/>
        </w:rPr>
        <w:t>Phase 2 — polish:</w:t>
      </w:r>
    </w:p>
    <w:p>
      <w:pPr>
        <w:pStyle w:val="ListBullet"/>
      </w:pPr>
      <w:r>
        <w:t>One-tap check-in+open; auto-highlight next stop; per-visit outcome + end-of-visit summary; optional check-in-before-sell policy.</w:t>
      </w:r>
    </w:p>
    <w:p>
      <w:r>
        <w:rPr>
          <w:b/>
          <w:i w:val="0"/>
        </w:rPr>
        <w:t>Rollout: enable for the pilot first; then promote to the FMCG default (same template/flag mechanism as the salesman role model), existing tenants opting in explicitly. Rollback: flag OFF → instant revert; no schema change in Phase 1; no transaction logic touched.</w:t>
      </w:r>
    </w:p>
    <w:p>
      <w:r>
        <w:rPr>
          <w:b/>
          <w:i w:val="0"/>
        </w:rPr>
        <w:t>Conclusion: turns the route from a compliance screen into the primary operational workflow — a visit-driven loop built almost entirely from existing components. Small, UI-only new surface; risk contained by a flag + Van-Sales gating; clean, reversible, pilot-first migration.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