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Migration Renumber Plan + #310 Residual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Migration Renumber Plan + #310 Residual Review</w:t>
      </w:r>
    </w:p>
    <w:p>
      <w:pPr>
        <w:pStyle w:val="Heading2"/>
      </w:pPr>
      <w:r>
        <w:rPr>
          <w:color w:val="1F497D"/>
        </w:rPr>
        <w:t xml:space="preserve">Part 1 — Duplicate migration number </w:t>
      </w:r>
      <w:r>
        <w:rPr>
          <w:rFonts w:ascii="Consolas" w:hAnsi="Consolas"/>
          <w:color w:val="1F497D"/>
          <w:sz w:val="19"/>
        </w:rPr>
        <w:t>0265</w:t>
      </w:r>
      <w:r>
        <w:rPr>
          <w:color w:val="1F497D"/>
        </w:rPr>
        <w:t xml:space="preserve"> (RESOLVED)</w:t>
      </w:r>
    </w:p>
    <w:p>
      <w:pPr>
        <w:pStyle w:val="Heading3"/>
      </w:pPr>
      <w:r>
        <w:t>How migrations are applied (the safe-review finding)</w:t>
      </w:r>
    </w:p>
    <w:p>
      <w:r>
        <w:rPr>
          <w:rFonts w:ascii="Consolas" w:hAnsi="Consolas"/>
          <w:sz w:val="19"/>
        </w:rPr>
        <w:t>.github/workflows/migrate-staging.yml</w:t>
      </w:r>
      <w:r>
        <w:t xml:space="preserve"> (and the prod job) apply migrations with a</w:t>
      </w:r>
    </w:p>
    <w:p>
      <w:r>
        <w:rPr>
          <w:b/>
        </w:rPr>
        <w:t>stateless shell glob</w:t>
      </w:r>
      <w:r>
        <w:t>:</w:t>
      </w:r>
    </w:p>
    <w:p>
      <w:pPr>
        <w:ind w:left="240"/>
      </w:pPr>
      <w:r>
        <w:rPr>
          <w:rFonts w:ascii="Consolas" w:hAnsi="Consolas"/>
          <w:sz w:val="18"/>
        </w:rPr>
        <w:t>for f in supabase/migrations/*.sql; do psql -v ON_ERROR_STOP=1 -f "$f"; done</w:t>
      </w:r>
    </w:p>
    <w:p>
      <w:pPr>
        <w:pStyle w:val="ListBullet"/>
      </w:pPr>
      <w:r>
        <w:t xml:space="preserve">Order = </w:t>
      </w:r>
      <w:r>
        <w:rPr>
          <w:b/>
        </w:rPr>
        <w:t>filename lexical order</w:t>
      </w:r>
      <w:r>
        <w:t xml:space="preserve">. There is </w:t>
      </w:r>
      <w:r>
        <w:rPr>
          <w:b/>
        </w:rPr>
        <w:t>no version table / no de-dup</w:t>
      </w:r>
      <w:r>
        <w:t>.</w:t>
      </w:r>
    </w:p>
    <w:p>
      <w:pPr>
        <w:pStyle w:val="ListBullet"/>
      </w:pPr>
      <w:r>
        <w:t xml:space="preserve">Envs are </w:t>
      </w:r>
      <w:r>
        <w:rPr>
          <w:b/>
        </w:rPr>
        <w:t>reset-able</w:t>
      </w:r>
      <w:r>
        <w:t>: "staging is expected to be reset-able … not guaranteed</w:t>
      </w:r>
    </w:p>
    <w:p>
      <w:r>
        <w:t>idempotent; reset before re-applying." Fresh deploys reset, then apply all files.</w:t>
      </w:r>
    </w:p>
    <w:p>
      <w:r>
        <w:rPr>
          <w:b/>
        </w:rPr>
        <w:t>Implication:</w:t>
      </w:r>
      <w:r>
        <w:t xml:space="preserve"> the duplicate *number* did not break the live DB (both files ran,</w:t>
      </w:r>
    </w:p>
    <w:p>
      <w:r>
        <w:t xml:space="preserve">deterministically: </w:t>
      </w:r>
      <w:r>
        <w:rPr>
          <w:rFonts w:ascii="Consolas" w:hAnsi="Consolas"/>
          <w:sz w:val="19"/>
        </w:rPr>
        <w:t>0265_entitlements…</w:t>
      </w:r>
      <w:r>
        <w:t xml:space="preserve"> &lt; </w:t>
      </w:r>
      <w:r>
        <w:rPr>
          <w:rFonts w:ascii="Consolas" w:hAnsi="Consolas"/>
          <w:sz w:val="19"/>
        </w:rPr>
        <w:t>0265_van_sell</w:t>
      </w:r>
      <w:r>
        <w:t xml:space="preserve"> &lt; </w:t>
      </w:r>
      <w:r>
        <w:rPr>
          <w:rFonts w:ascii="Consolas" w:hAnsi="Consolas"/>
          <w:sz w:val="19"/>
        </w:rPr>
        <w:t>0266…</w:t>
      </w:r>
      <w:r>
        <w:t>). But it is</w:t>
      </w:r>
    </w:p>
    <w:p>
      <w:r>
        <w:t>fragile — Supabase CLI (</w:t>
      </w:r>
      <w:r>
        <w:rPr>
          <w:rFonts w:ascii="Consolas" w:hAnsi="Consolas"/>
          <w:sz w:val="19"/>
        </w:rPr>
        <w:t>db push</w:t>
      </w:r>
      <w:r>
        <w:t>/</w:t>
      </w:r>
      <w:r>
        <w:rPr>
          <w:rFonts w:ascii="Consolas" w:hAnsi="Consolas"/>
          <w:sz w:val="19"/>
        </w:rPr>
        <w:t>db diff</w:t>
      </w:r>
      <w:r>
        <w:t>) and contributors key on the numeric</w:t>
      </w:r>
    </w:p>
    <w:p>
      <w:r>
        <w:t xml:space="preserve">prefix, so two </w:t>
      </w:r>
      <w:r>
        <w:rPr>
          <w:rFonts w:ascii="Consolas" w:hAnsi="Consolas"/>
          <w:sz w:val="19"/>
        </w:rPr>
        <w:t>0265</w:t>
      </w:r>
      <w:r>
        <w:t>s invite future ambiguity. Resolving it is correct hygiene.</w:t>
      </w:r>
    </w:p>
    <w:p>
      <w:pPr>
        <w:pStyle w:val="Heading3"/>
      </w:pPr>
      <w:r>
        <w:t>Dependency analysis (why the rename direction is safe)</w:t>
      </w:r>
    </w:p>
    <w:p>
      <w:pPr>
        <w:pStyle w:val="ListBullet"/>
      </w:pPr>
      <w:r>
        <w:rPr>
          <w:rFonts w:ascii="Consolas" w:hAnsi="Consolas"/>
          <w:sz w:val="19"/>
        </w:rPr>
        <w:t>0265_van_sell.sql</w:t>
      </w:r>
      <w:r>
        <w:t xml:space="preserve"> is </w:t>
      </w:r>
      <w:r>
        <w:rPr>
          <w:b/>
        </w:rPr>
        <w:t>referenced by later migrations</w:t>
      </w:r>
      <w:r>
        <w:t xml:space="preserve"> </w:t>
      </w:r>
      <w:r>
        <w:rPr>
          <w:rFonts w:ascii="Consolas" w:hAnsi="Consolas"/>
          <w:sz w:val="19"/>
        </w:rPr>
        <w:t>0305_van_sell_uom</w:t>
      </w:r>
      <w:r>
        <w:t>,</w:t>
      </w:r>
    </w:p>
    <w:p>
      <w:r>
        <w:rPr>
          <w:rFonts w:ascii="Consolas" w:hAnsi="Consolas"/>
          <w:sz w:val="19"/>
        </w:rPr>
        <w:t>0306_van_sell_with_payment</w:t>
      </w:r>
      <w:r>
        <w:t xml:space="preserve">, </w:t>
      </w:r>
      <w:r>
        <w:rPr>
          <w:rFonts w:ascii="Consolas" w:hAnsi="Consolas"/>
          <w:sz w:val="19"/>
        </w:rPr>
        <w:t>0314_rpc_authz_enforcement</w:t>
      </w:r>
      <w:r>
        <w:t xml:space="preserve">, </w:t>
      </w:r>
      <w:r>
        <w:rPr>
          <w:rFonts w:ascii="Consolas" w:hAnsi="Consolas"/>
          <w:sz w:val="19"/>
        </w:rPr>
        <w:t>0317_rpc_guard_entrypoint</w:t>
      </w:r>
      <w:r>
        <w:t>.</w:t>
      </w:r>
    </w:p>
    <w:p>
      <w:r>
        <w:t xml:space="preserve">→ van_sell </w:t>
      </w:r>
      <w:r>
        <w:rPr>
          <w:b/>
        </w:rPr>
        <w:t>must keep an early number</w:t>
      </w:r>
      <w:r>
        <w:t xml:space="preserve"> (stays at </w:t>
      </w:r>
      <w:r>
        <w:rPr>
          <w:b/>
        </w:rPr>
        <w:t>0265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0265_entitlements_company_feature_writes.sql</w:t>
      </w:r>
      <w:r>
        <w:t xml:space="preserve"> (an RLS write-policy on</w:t>
      </w:r>
    </w:p>
    <w:p>
      <w:r>
        <w:rPr>
          <w:rFonts w:ascii="Consolas" w:hAnsi="Consolas"/>
          <w:sz w:val="19"/>
        </w:rPr>
        <w:t>erp_company_entitlements</w:t>
      </w:r>
      <w:r>
        <w:t xml:space="preserve">) has </w:t>
      </w:r>
      <w:r>
        <w:rPr>
          <w:b/>
        </w:rPr>
        <w:t>no later-migration dependents</w:t>
      </w:r>
      <w:r>
        <w:t xml:space="preserve"> (only its prereq</w:t>
      </w:r>
    </w:p>
    <w:p>
      <w:r>
        <w:t xml:space="preserve">table from </w:t>
      </w:r>
      <w:r>
        <w:rPr>
          <w:rFonts w:ascii="Consolas" w:hAnsi="Consolas"/>
          <w:sz w:val="19"/>
        </w:rPr>
        <w:t>0263_entitlements_foundation</w:t>
      </w:r>
      <w:r>
        <w:t xml:space="preserve"> precedes it). → safe to move to the end.</w:t>
      </w:r>
    </w:p>
    <w:p>
      <w:pPr>
        <w:pStyle w:val="Heading3"/>
      </w:pPr>
      <w:r>
        <w:t>Exact renumbering applied</w:t>
      </w:r>
    </w:p>
    <w:p>
      <w:pPr>
        <w:ind w:left="240"/>
      </w:pPr>
      <w:r>
        <w:rPr>
          <w:rFonts w:ascii="Consolas" w:hAnsi="Consolas"/>
          <w:sz w:val="18"/>
        </w:rPr>
        <w:t>git mv supabase/migrations/0265_entitlements_company_feature_writes.sql \</w:t>
        <w:br/>
        <w:t xml:space="preserve">       supabase/migrations/0338_entitlements_company_feature_writes.sql</w:t>
        <w:br/>
        <w:t># in-file header note updated: "0338 (was 0265 — renumbered to resolve a duplicate)"</w:t>
      </w:r>
    </w:p>
    <w:p>
      <w:r>
        <w:t xml:space="preserve">Result: </w:t>
      </w:r>
      <w:r>
        <w:rPr>
          <w:b/>
        </w:rPr>
        <w:t>no duplicate migration numbers remain</w:t>
      </w:r>
      <w:r>
        <w:t>; van_sell stays at 0265 ahead of its</w:t>
      </w:r>
    </w:p>
    <w:p>
      <w:r>
        <w:t>dependents; entitlements policy applies last (0338), after its prereq table.</w:t>
      </w:r>
    </w:p>
    <w:p>
      <w:pPr>
        <w:pStyle w:val="Heading3"/>
      </w:pPr>
      <w:r>
        <w:t>Why this is safe for existing + fresh environments</w:t>
      </w:r>
    </w:p>
    <w:p>
      <w:pPr>
        <w:pStyle w:val="ListBullet"/>
      </w:pPr>
      <w:r>
        <w:rPr>
          <w:b/>
        </w:rPr>
        <w:t>Fresh deploys / new environments / new tenants:</w:t>
      </w:r>
      <w:r>
        <w:t xml:space="preserve"> apply all files in filename</w:t>
      </w:r>
    </w:p>
    <w:p>
      <w:r>
        <w:t>order — now unambiguous (unique numbers). The entitlements policy at 0338 still runs</w:t>
      </w:r>
    </w:p>
    <w:p>
      <w:r>
        <w:t xml:space="preserve">after </w:t>
      </w:r>
      <w:r>
        <w:rPr>
          <w:rFonts w:ascii="Consolas" w:hAnsi="Consolas"/>
          <w:sz w:val="19"/>
        </w:rPr>
        <w:t>erp_company_entitlements</w:t>
      </w:r>
      <w:r>
        <w:t xml:space="preserve"> is created (0263). ✓</w:t>
      </w:r>
    </w:p>
    <w:p>
      <w:pPr>
        <w:pStyle w:val="ListBullet"/>
      </w:pPr>
      <w:r>
        <w:rPr>
          <w:b/>
        </w:rPr>
        <w:t>Live vantora-staging (already applied):</w:t>
      </w:r>
      <w:r>
        <w:t xml:space="preserve"> reset-able; the next reset+apply uses the</w:t>
      </w:r>
    </w:p>
    <w:p>
      <w:r>
        <w:t>corrected filenames. No live-DB mutation was required by this rename. ✓</w:t>
      </w:r>
    </w:p>
    <w:p>
      <w:pPr>
        <w:pStyle w:val="ListBullet"/>
      </w:pPr>
      <w:r>
        <w:rPr>
          <w:b/>
        </w:rPr>
        <w:t>No code/tooling references the old filename</w:t>
      </w:r>
      <w:r>
        <w:t xml:space="preserve"> (migrations are glob-applied, never</w:t>
      </w:r>
    </w:p>
    <w:p>
      <w:r>
        <w:t>imported), so nothing else changes.</w:t>
      </w:r>
    </w:p>
    <w:p>
      <w:pPr>
        <w:ind w:left="360"/>
      </w:pPr>
      <w:r>
        <w:rPr>
          <w:i/>
        </w:rPr>
      </w:r>
      <w:r>
        <w:rPr>
          <w:i/>
        </w:rPr>
        <w:t xml:space="preserve">Applied on </w:t>
      </w:r>
      <w:r>
        <w:rPr>
          <w:rFonts w:ascii="Consolas" w:hAnsi="Consolas"/>
          <w:i/>
          <w:sz w:val="19"/>
        </w:rPr>
        <w:t>main</w:t>
      </w:r>
      <w:r>
        <w:rPr>
          <w:i/>
        </w:rPr>
        <w:t xml:space="preserve"> (where the merge created the clash). The pilot branch never had the</w:t>
      </w:r>
    </w:p>
    <w:p>
      <w:pPr>
        <w:ind w:left="360"/>
      </w:pPr>
      <w:r>
        <w:rPr>
          <w:i/>
        </w:rPr>
      </w:r>
      <w:r>
        <w:rPr>
          <w:i/>
        </w:rPr>
        <w:t>entitlements migration, so no duplicate exists there.</w:t>
      </w:r>
    </w:p>
    <w:p>
      <w:pPr>
        <w:pStyle w:val="Heading2"/>
      </w:pPr>
      <w:r>
        <w:rPr>
          <w:color w:val="1F497D"/>
        </w:rPr>
        <w:t>Part 2 — #310 residual items review</w:t>
      </w:r>
    </w:p>
    <w:p>
      <w:r>
        <w:rPr>
          <w:rFonts w:ascii="Consolas" w:hAnsi="Consolas"/>
          <w:sz w:val="19"/>
        </w:rPr>
        <w:t>claude/form-builder-engine-h92fzd</w:t>
      </w:r>
      <w:r>
        <w:t xml:space="preserve"> retains 3 items not in </w:t>
      </w:r>
      <w:r>
        <w:rPr>
          <w:rFonts w:ascii="Consolas" w:hAnsi="Consolas"/>
          <w:sz w:val="19"/>
        </w:rPr>
        <w:t>main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Already on main?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Recommendation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src/app/(app)/forms/customer-data-update/actions.ts</w:t>
            </w:r>
          </w:p>
        </w:tc>
        <w:tc>
          <w:tcPr>
            <w:tcW w:type="dxa" w:w="1728"/>
          </w:tcPr>
          <w:p>
            <w:r>
              <w:t>Form-builder server actions for the Customer-Data-Update form (form-builder-engine line)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</w:t>
            </w:r>
            <w:r>
              <w:t xml:space="preserve"> — but main HAS </w:t>
            </w:r>
            <w:r>
              <w:rPr>
                <w:rFonts w:ascii="Consolas" w:hAnsi="Consolas"/>
                <w:sz w:val="19"/>
              </w:rPr>
              <w:t>customer-data-update/page.tsx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runner.tsx</w:t>
            </w:r>
            <w:r>
              <w:t xml:space="preserve"> + integration test (the pilot-line implementation)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Archive only</w:t>
            </w:r>
          </w:p>
        </w:tc>
        <w:tc>
          <w:tcPr>
            <w:tcW w:type="dxa" w:w="1728"/>
          </w:tcPr>
          <w:p>
            <w:r>
              <w:t xml:space="preserve">Main already ships a working customer-data-update (page+runner+test, suite green). This </w:t>
            </w:r>
            <w:r>
              <w:rPr>
                <w:rFonts w:ascii="Consolas" w:hAnsi="Consolas"/>
                <w:sz w:val="19"/>
              </w:rPr>
              <w:t>actions.ts</w:t>
            </w:r>
            <w:r>
              <w:t xml:space="preserve"> is the parallel form-builder approach, out of FMCG-pilot scope. Preserve as a tag for future form-builder work; do </w:t>
            </w:r>
            <w:r>
              <w:rPr>
                <w:b/>
              </w:rPr>
              <w:t>not</w:t>
            </w:r>
            <w:r>
              <w:t xml:space="preserve"> merge (risk of colliding with main's working version) and do </w:t>
            </w:r>
            <w:r>
              <w:rPr>
                <w:b/>
              </w:rPr>
              <w:t>not</w:t>
            </w:r>
            <w:r>
              <w:t xml:space="preserve"> discard.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VANTORA-FMCG-Readiness-Assessment.docx</w:t>
            </w:r>
          </w:p>
        </w:tc>
        <w:tc>
          <w:tcPr>
            <w:tcW w:type="dxa" w:w="1728"/>
          </w:tcPr>
          <w:p>
            <w:r>
              <w:t>Early readiness assessment (root-level)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Archive only</w:t>
            </w:r>
          </w:p>
        </w:tc>
        <w:tc>
          <w:tcPr>
            <w:tcW w:type="dxa" w:w="1728"/>
          </w:tcPr>
          <w:p>
            <w:r>
              <w:t xml:space="preserve">Historical; superseded by the current </w:t>
            </w:r>
            <w:r>
              <w:rPr>
                <w:rFonts w:ascii="Consolas" w:hAnsi="Consolas"/>
                <w:sz w:val="19"/>
              </w:rPr>
              <w:t>docs/audits/*</w:t>
            </w:r>
            <w:r>
              <w:t xml:space="preserve"> certification set on main. Keep for provenance, not in main.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VANTORA-Sell-Invoice-Collect-Design-Review.docx</w:t>
            </w:r>
          </w:p>
        </w:tc>
        <w:tc>
          <w:tcPr>
            <w:tcW w:type="dxa" w:w="1728"/>
          </w:tcPr>
          <w:p>
            <w:r>
              <w:t>Early sell/invoice/collect design review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Archive only</w:t>
            </w:r>
          </w:p>
        </w:tc>
        <w:tc>
          <w:tcPr>
            <w:tcW w:type="dxa" w:w="1728"/>
          </w:tcPr>
          <w:p>
            <w:r>
              <w:t>Historical design doc; superseded by shipped pilot + current audits. Keep for provenance.</w:t>
            </w:r>
          </w:p>
        </w:tc>
      </w:tr>
    </w:tbl>
    <w:p/>
    <w:p>
      <w:r>
        <w:rPr>
          <w:b/>
        </w:rPr>
        <w:t>Net:</w:t>
      </w:r>
      <w:r>
        <w:t xml:space="preserve"> none require merging into main; none should be discarded. All three are</w:t>
      </w:r>
    </w:p>
    <w:p>
      <w:r>
        <w:t xml:space="preserve">preserved when </w:t>
      </w:r>
      <w:r>
        <w:rPr>
          <w:rFonts w:ascii="Consolas" w:hAnsi="Consolas"/>
          <w:sz w:val="19"/>
        </w:rPr>
        <w:t>form-builder-engine</w:t>
      </w:r>
      <w:r>
        <w:t xml:space="preserve"> is </w:t>
      </w:r>
      <w:r>
        <w:rPr>
          <w:b/>
        </w:rPr>
        <w:t>archived by tag</w:t>
      </w:r>
      <w:r>
        <w:t xml:space="preserve"> (so the branch itself</w:t>
      </w:r>
    </w:p>
    <w:p>
      <w:r>
        <w:t>becomes deletable without losing them).</w:t>
      </w:r>
    </w:p>
    <w:p>
      <w:pPr>
        <w:ind w:left="360"/>
      </w:pPr>
      <w:r>
        <w:rPr>
          <w:i/>
        </w:rPr>
      </w:r>
      <w:r>
        <w:rPr>
          <w:i/>
        </w:rPr>
        <w:t>If you DO want the form-builder Customer-Data-Update flow in the product, that is a</w:t>
      </w:r>
    </w:p>
    <w:p>
      <w:pPr>
        <w:ind w:left="360"/>
      </w:pPr>
      <w:r>
        <w:rPr>
          <w:i/>
        </w:rPr>
      </w:r>
      <w:r>
        <w:rPr>
          <w:i/>
        </w:rPr>
        <w:t xml:space="preserve">separate feature decision (merge </w:t>
      </w:r>
      <w:r>
        <w:rPr>
          <w:rFonts w:ascii="Consolas" w:hAnsi="Consolas"/>
          <w:i/>
          <w:sz w:val="19"/>
        </w:rPr>
        <w:t>actions.ts</w:t>
      </w:r>
      <w:r>
        <w:rPr>
          <w:i/>
        </w:rPr>
        <w:t xml:space="preserve"> + reconcile with main's page/runner) —</w:t>
      </w:r>
    </w:p>
    <w:p>
      <w:pPr>
        <w:ind w:left="360"/>
      </w:pPr>
      <w:r>
        <w:rPr>
          <w:i/>
        </w:rPr>
      </w:r>
      <w:r>
        <w:rPr>
          <w:i/>
        </w:rPr>
        <w:t>flagged, not assumed.</w:t>
      </w:r>
    </w:p>
    <w:p>
      <w:pPr>
        <w:pStyle w:val="Heading2"/>
      </w:pPr>
      <w:r>
        <w:rPr>
          <w:color w:val="1F497D"/>
        </w:rPr>
        <w:t>Status &amp; next steps</w:t>
      </w:r>
    </w:p>
    <w:p>
      <w:pPr>
        <w:pStyle w:val="ListBullet"/>
      </w:pPr>
      <w:r>
        <w:rPr>
          <w:b/>
        </w:rPr>
        <w:t>Migration duplicate: RESOLVED</w:t>
      </w:r>
      <w:r>
        <w:t xml:space="preserve"> on </w:t>
      </w:r>
      <w:r>
        <w:rPr>
          <w:rFonts w:ascii="Consolas" w:hAnsi="Consolas"/>
          <w:sz w:val="19"/>
        </w:rPr>
        <w:t>main</w:t>
      </w:r>
      <w:r>
        <w:t xml:space="preserve"> (rename committed). Fresh deploys/new</w:t>
      </w:r>
    </w:p>
    <w:p>
      <w:r>
        <w:t>environments/new tenants now have unambiguous migration ordering.</w:t>
      </w:r>
    </w:p>
    <w:p>
      <w:pPr>
        <w:pStyle w:val="ListBullet"/>
      </w:pPr>
      <w:r>
        <w:rPr>
          <w:b/>
        </w:rPr>
        <w:t>#310 residual: REVIEWED</w:t>
      </w:r>
      <w:r>
        <w:t xml:space="preserve"> — all three → </w:t>
      </w:r>
      <w:r>
        <w:rPr>
          <w:b/>
        </w:rPr>
        <w:t>Archive only</w:t>
      </w:r>
      <w:r>
        <w:t>.</w:t>
      </w:r>
    </w:p>
    <w:p>
      <w:pPr>
        <w:pStyle w:val="ListBullet"/>
      </w:pPr>
      <w:r>
        <w:rPr>
          <w:b/>
        </w:rPr>
        <w:t>No branch deleted or archived.</w:t>
      </w:r>
      <w:r>
        <w:t xml:space="preserve"> With the prerequisite resolved and #310 reviewed,</w:t>
      </w:r>
    </w:p>
    <w:p>
      <w:r>
        <w:t>the cleanup can proceed on your go: archive-tag the unique-code branches (incl.</w:t>
      </w:r>
    </w:p>
    <w:p>
      <w:r>
        <w:rPr>
          <w:rFonts w:ascii="Consolas" w:hAnsi="Consolas"/>
          <w:sz w:val="19"/>
        </w:rPr>
        <w:t>form-builder-engine</w:t>
      </w:r>
      <w:r>
        <w:t xml:space="preserve">), delete the fully-merged branches, keep </w:t>
      </w:r>
      <w:r>
        <w:rPr>
          <w:b/>
        </w:rPr>
        <w:t>`main`</w:t>
      </w:r>
      <w:r>
        <w:t xml:space="preserve"> +</w:t>
      </w:r>
    </w:p>
    <w:p>
      <w:r>
        <w:rPr>
          <w:b/>
        </w:rPr>
        <w:t>`claude/fmcg-sell-collect-loop`</w:t>
      </w:r>
      <w:r>
        <w:t xml:space="preserve"> as the only active branches.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