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56"/>
        </w:rPr>
        <w:t>VANTORA</w:t>
      </w:r>
    </w:p>
    <w:p>
      <w:r>
        <w:rPr>
          <w:b/>
          <w:color w:val="555555"/>
          <w:sz w:val="32"/>
        </w:rPr>
        <w:t>FMCG Readiness &amp; Gap Assessment</w:t>
      </w:r>
    </w:p>
    <w:p>
      <w:pPr>
        <w:spacing w:before="40"/>
      </w:pPr>
      <w:r>
        <w:rPr>
          <w:i/>
          <w:color w:val="555555"/>
          <w:sz w:val="19"/>
        </w:rPr>
        <w:t>Prepared 9 June 2026  ·  Read-only review — no engines built, no flags changed</w:t>
      </w:r>
    </w:p>
    <w:p>
      <w:pPr>
        <w:spacing w:after="40"/>
      </w:pPr>
      <w:r>
        <w:rPr>
          <w:b/>
          <w:color w:val="1B7F37"/>
          <w:sz w:val="19"/>
        </w:rPr>
        <w:t xml:space="preserve">  Implemented  </w:t>
      </w:r>
      <w:r>
        <w:rPr>
          <w:b/>
          <w:color w:val="555555"/>
          <w:sz w:val="19"/>
        </w:rPr>
        <w:t xml:space="preserve">   ·   </w:t>
      </w:r>
      <w:r>
        <w:rPr>
          <w:b/>
          <w:color w:val="B06A00"/>
          <w:sz w:val="19"/>
        </w:rPr>
        <w:t>Partial</w:t>
      </w:r>
      <w:r>
        <w:rPr>
          <w:b/>
          <w:color w:val="555555"/>
          <w:sz w:val="19"/>
        </w:rPr>
        <w:t xml:space="preserve">   ·   </w:t>
      </w:r>
      <w:r>
        <w:rPr>
          <w:b/>
          <w:color w:val="B3261E"/>
          <w:sz w:val="19"/>
        </w:rPr>
        <w:t>Missing</w:t>
      </w:r>
      <w:r>
        <w:rPr>
          <w:i/>
          <w:color w:val="555555"/>
          <w:sz w:val="18"/>
        </w:rPr>
        <w:t xml:space="preserve">   (status legend)</w:t>
      </w:r>
    </w:p>
    <w:p/>
    <w:p>
      <w:pPr>
        <w:spacing w:before="240" w:after="80"/>
      </w:pPr>
      <w:r>
        <w:rPr>
          <w:b/>
          <w:color w:val="1F3864"/>
          <w:sz w:val="26"/>
        </w:rPr>
        <w:t>Capability Scorecard — 25 Areas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608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Customers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Products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Product Categories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06A00"/>
                <w:sz w:val="19"/>
              </w:rPr>
              <w:t>Partial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Brands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3261E"/>
                <w:sz w:val="19"/>
              </w:rPr>
              <w:t>Missing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Units of Measure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Pricing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Promotions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06A00"/>
                <w:sz w:val="19"/>
              </w:rPr>
              <w:t>Partial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Warehouses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Inventory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Stock Movements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Van Sales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06A00"/>
                <w:sz w:val="19"/>
              </w:rPr>
              <w:t>Partial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Sales Orders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06A00"/>
                <w:sz w:val="19"/>
              </w:rPr>
              <w:t>Partial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13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Invoices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14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Collections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06A00"/>
                <w:sz w:val="19"/>
              </w:rPr>
              <w:t>Partial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15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Returns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16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Routes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17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GPS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18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Merchandising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06A00"/>
                <w:sz w:val="19"/>
              </w:rPr>
              <w:t>Partial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19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Trade Spend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06A00"/>
                <w:sz w:val="19"/>
              </w:rPr>
              <w:t>Partial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20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Dashboards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21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22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Change Requests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 (flag OFF)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23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Critical Alerts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 (flag OFF)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Entitlements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 (flag OFF)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sz w:val="19"/>
              </w:rPr>
              <w:t>25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Workflow / Approvals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1B7F37"/>
                <w:sz w:val="19"/>
              </w:rPr>
              <w:t>Implemented</w:t>
            </w:r>
          </w:p>
        </w:tc>
      </w:tr>
    </w:tbl>
    <w:p>
      <w:pPr>
        <w:spacing w:before="120"/>
      </w:pPr>
      <w:r>
        <w:rPr>
          <w:b/>
          <w:sz w:val="20"/>
        </w:rPr>
        <w:t xml:space="preserve">Tally: </w:t>
      </w:r>
      <w:r>
        <w:rPr>
          <w:sz w:val="20"/>
        </w:rPr>
        <w:t>14 Implemented · 7 Partial · 1 Missing  (3 of the Implemented are flag-OFF platform engines).</w:t>
      </w:r>
    </w:p>
    <w:p>
      <w:r>
        <w:br w:type="page"/>
      </w:r>
    </w:p>
    <w:p>
      <w:pPr>
        <w:spacing w:before="240" w:after="80"/>
      </w:pPr>
      <w:r>
        <w:rPr>
          <w:b/>
          <w:color w:val="1F3864"/>
          <w:sz w:val="32"/>
        </w:rPr>
        <w:t>Per-Area Detail</w:t>
      </w:r>
    </w:p>
    <w:p>
      <w:pPr>
        <w:spacing w:before="200" w:after="40"/>
      </w:pPr>
      <w:r>
        <w:rPr>
          <w:b/>
          <w:color w:val="1F3864"/>
          <w:sz w:val="24"/>
        </w:rPr>
        <w:t>1. Customers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erp_customers with credit profiles, credit-block rules, segment/channel/classification lookups, GPS lat/lng, national address; credit-limit change workflow; full /customers CRUD.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None blocking. Customer master is FMCG-grade.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Low. Credit-block enforcement should be smoke-tested against the van/invoice path before pilot.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Verify credit-block actually halts an over-limit sale end-to-end in the pilot flow.</w:t>
      </w:r>
    </w:p>
    <w:p>
      <w:pPr>
        <w:spacing w:before="200" w:after="40"/>
      </w:pPr>
      <w:r>
        <w:rPr>
          <w:b/>
          <w:color w:val="1F3864"/>
          <w:sz w:val="24"/>
        </w:rPr>
        <w:t>2. Products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erp_products_catalog (brand, subcategory, pack_size, expiry_days as columns), erp_product_uoms (0137); /products CRUD.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brand is free-text (see #4); subcategory is a column, not FK to a managed tree (see #3).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Free-text brand → inconsistent reporting/filtering across reps.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None for pilot; tighten via #3 / #4 post-pilot.</w:t>
      </w:r>
    </w:p>
    <w:p>
      <w:pPr>
        <w:spacing w:before="200" w:after="40"/>
      </w:pPr>
      <w:r>
        <w:rPr>
          <w:b/>
          <w:color w:val="1F3864"/>
          <w:sz w:val="24"/>
        </w:rPr>
        <w:t>3. Product Categories</w:t>
      </w:r>
      <w:r>
        <w:rPr>
          <w:b/>
          <w:color w:val="B06A00"/>
          <w:sz w:val="22"/>
        </w:rPr>
        <w:t xml:space="preserve">   —   Partial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erp_product_categories (hierarchical) exists; only an inline create dialog in the product form — no dedicated management page.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 /settings/product-categories page to build/maintain the tree; cannot reparent, rename, or deactivate cleanly.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Categories drift; reporting roll-ups become unreliable.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Add a thin settings CRUD page over the existing table (small, no new engine).</w:t>
      </w:r>
    </w:p>
    <w:p>
      <w:pPr>
        <w:spacing w:before="200" w:after="40"/>
      </w:pPr>
      <w:r>
        <w:rPr>
          <w:b/>
          <w:color w:val="1F3864"/>
          <w:sz w:val="24"/>
        </w:rPr>
        <w:t>4. Brands</w:t>
      </w:r>
      <w:r>
        <w:rPr>
          <w:b/>
          <w:color w:val="B3261E"/>
          <w:sz w:val="22"/>
        </w:rPr>
        <w:t xml:space="preserve">   —   Missing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Brand lives only as products_catalog.brand TEXT.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 erp_brands master, no FK, no brand management UI. Brand-level pricing/promotions/reporting cannot be governed.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FMCG is brand-centric (listings, trade spend, perfect-store all key off brand). Free-text undermines all of it.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Add a brands master table + FK + settings page; backfill from existing text. Not a pilot blocker if the pilot is single-distributor with a small SKU set.</w:t>
      </w:r>
    </w:p>
    <w:p>
      <w:pPr>
        <w:spacing w:before="200" w:after="40"/>
      </w:pPr>
      <w:r>
        <w:rPr>
          <w:b/>
          <w:color w:val="1F3864"/>
          <w:sz w:val="24"/>
        </w:rPr>
        <w:t>5. Units of Measure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erp_product_uoms + /settings/uom; multi-UoM with conversions.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Confirm pricing &amp; van stock resolve in the correct UoM during pilot dry-run.</w:t>
      </w:r>
    </w:p>
    <w:p>
      <w:pPr>
        <w:spacing w:before="200" w:after="40"/>
      </w:pPr>
      <w:r>
        <w:rPr>
          <w:b/>
          <w:color w:val="1F3864"/>
          <w:sz w:val="24"/>
        </w:rPr>
        <w:t>6. Pricing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erp_price_lists / _rules / _prices (0137) + wholesale tables; 9-level erp_resolve_price; /sales/pricing + /wholesale/prices.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Powerful but complex — misconfiguration risk is the main concern.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Misconfiguration of the rule stack could yield wrong field prices.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Lock the pilot to one clear price list + a small rule set; validate resolution order with real SKUs.</w:t>
      </w:r>
    </w:p>
    <w:p>
      <w:pPr>
        <w:spacing w:before="200" w:after="40"/>
      </w:pPr>
      <w:r>
        <w:rPr>
          <w:b/>
          <w:color w:val="1F3864"/>
          <w:sz w:val="24"/>
        </w:rPr>
        <w:t>7. Promotions</w:t>
      </w:r>
      <w:r>
        <w:rPr>
          <w:b/>
          <w:color w:val="B06A00"/>
          <w:sz w:val="22"/>
        </w:rPr>
        <w:t xml:space="preserve">   —   Partial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erp_trade_promotions + accruals/claims/allocations/targets/funding/budgets; only /distribution/trade-spend read-only dashboard (KAKO_TRADE_SPEND, KAKO_PROMOTIONS).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 create/edit/approve UI — promotions cannot be authored or applied at point of sale.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Promo-driven selling (core FMCG motion) cannot run; reps cannot apply deals.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Post-pilot, or run pilot with promotions out of scope. The lifecycle UI is the larger of the two big optional gaps.</w:t>
      </w:r>
    </w:p>
    <w:p>
      <w:pPr>
        <w:spacing w:before="200" w:after="40"/>
      </w:pPr>
      <w:r>
        <w:rPr>
          <w:b/>
          <w:color w:val="1F3864"/>
          <w:sz w:val="24"/>
        </w:rPr>
        <w:t>8. Warehouses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erp_warehouses (warehouse_type); /warehouses.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None.</w:t>
      </w:r>
    </w:p>
    <w:p>
      <w:pPr>
        <w:spacing w:before="200" w:after="40"/>
      </w:pPr>
      <w:r>
        <w:rPr>
          <w:b/>
          <w:color w:val="1F3864"/>
          <w:sz w:val="24"/>
        </w:rPr>
        <w:t>9. Inventory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erp_inventory_stock / erp_stock_movements; costing (KAKO_INVENTORY_COSTING); batch + expiry on erp_goods_receipt_lines; /inventory/{,expiry,low-stock,count,transfers,requests}.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Seed opening stock for pilot warehouse(s).</w:t>
      </w:r>
    </w:p>
    <w:p>
      <w:pPr>
        <w:spacing w:before="200" w:after="40"/>
      </w:pPr>
      <w:r>
        <w:rPr>
          <w:b/>
          <w:color w:val="1F3864"/>
          <w:sz w:val="24"/>
        </w:rPr>
        <w:t>10. Stock Movements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Signed erp_stock_movements with reference + erp_transfer_orders.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None.</w:t>
      </w:r>
    </w:p>
    <w:p>
      <w:pPr>
        <w:spacing w:before="200" w:after="40"/>
      </w:pPr>
      <w:r>
        <w:rPr>
          <w:b/>
          <w:color w:val="1F3864"/>
          <w:sz w:val="24"/>
        </w:rPr>
        <w:t>11. Van Sales</w:t>
      </w:r>
      <w:r>
        <w:rPr>
          <w:b/>
          <w:color w:val="B06A00"/>
          <w:sz w:val="22"/>
        </w:rPr>
        <w:t xml:space="preserve">   —   Partial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erp_stock_requests / erp_van_load_manifests / erp_van_load_confirmations / erp_van_reconciliations; /field/van-sales/* + /field/van-reconciliation. The request → approve → load → confirm → reconcile loop is complete; accepted-qty-only posts to van stock; variance handling and warehouse visibility work.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Selling FROM the van is missing — no van-side invoice/sale that decrements van stock against a customer at point of delivery. Van returns also not wired.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This is THE van-sales motion. Without it the pilot is "stock movement to a van," not "van sales."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Build the van-sell transaction (van stock → customer invoice → settlement) on top of the existing load/reconcile spine. Top of the build order.</w:t>
      </w:r>
    </w:p>
    <w:p>
      <w:pPr>
        <w:spacing w:before="200" w:after="40"/>
      </w:pPr>
      <w:r>
        <w:rPr>
          <w:b/>
          <w:color w:val="1F3864"/>
          <w:sz w:val="24"/>
        </w:rPr>
        <w:t>12. Sales Orders</w:t>
      </w:r>
      <w:r>
        <w:rPr>
          <w:b/>
          <w:color w:val="B06A00"/>
          <w:sz w:val="22"/>
        </w:rPr>
        <w:t xml:space="preserve">   —   Partial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erp_sales_orders + lines; /sales/orders; CRUD only.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 order → invoice conversion; no approval workflow on orders.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Pre-sell / telesales motion cannot fulfil; orders are dead-end records.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Add order→invoice conversion (reuse invoice engine). Needed only if the pilot includes pre-sell; not needed for pure van direct-sell.</w:t>
      </w:r>
    </w:p>
    <w:p>
      <w:pPr>
        <w:spacing w:before="200" w:after="40"/>
      </w:pPr>
      <w:r>
        <w:rPr>
          <w:b/>
          <w:color w:val="1F3864"/>
          <w:sz w:val="24"/>
        </w:rPr>
        <w:t>13. Invoices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erp_invoices / lines / erp_payments / erp_tax_submissions (ZATCA/ETA lifecycle); journal posting (KAKO_FINANCE); /sales/invoices.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Multi-invoice allocation UI is a stub (see #14).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Low.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Confirm tax-submission config matches the pilot jurisdiction.</w:t>
      </w:r>
    </w:p>
    <w:p>
      <w:pPr>
        <w:spacing w:before="200" w:after="40"/>
      </w:pPr>
      <w:r>
        <w:rPr>
          <w:b/>
          <w:color w:val="1F3864"/>
          <w:sz w:val="24"/>
        </w:rPr>
        <w:t>14. Collections</w:t>
      </w:r>
      <w:r>
        <w:rPr>
          <w:b/>
          <w:color w:val="B06A00"/>
          <w:sz w:val="22"/>
        </w:rPr>
        <w:t xml:space="preserve">   —   Partial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erp_collections / erp_collection_allocations; /collections/[id]/receipt + /sales/settlement.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 collection-entry UI (rep cannot record a cash/cheque receipt in the field) and no multi-invoice allocation UI (cannot split one payment across invoices).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Cash-collection is the lifeblood of van FMCG. Without entry, the cash loop is broken.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Build collection-entry + allocation UI over the existing tables. Second in build order, right after van-sell.</w:t>
      </w:r>
    </w:p>
    <w:p>
      <w:pPr>
        <w:spacing w:before="200" w:after="40"/>
      </w:pPr>
      <w:r>
        <w:rPr>
          <w:b/>
          <w:color w:val="1F3864"/>
          <w:sz w:val="24"/>
        </w:rPr>
        <w:t>15. Returns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erp_sales_returns / lines / erp_return_reasons (KAKO_RETURNS); /sales/returns.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Van-side returns (return captured on the van during a visit) not wired.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Low for office returns; field returns deferred.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Fold van-returns into the van-sell work (#11).</w:t>
      </w:r>
    </w:p>
    <w:p>
      <w:pPr>
        <w:spacing w:before="200" w:after="40"/>
      </w:pPr>
      <w:r>
        <w:rPr>
          <w:b/>
          <w:color w:val="1F3864"/>
          <w:sz w:val="24"/>
        </w:rPr>
        <w:t>16. Routes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erp_routes / erp_journey_plans; /field/route + /field/journey + /distribution/routes; optimization (KAKO_ROUTE_OPTIMIZATION) + riding (KAKO_ROUTE_RIDING).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Optimization UI surface thin.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Low.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Assign pilot reps to routes/journey plans.</w:t>
      </w:r>
    </w:p>
    <w:p>
      <w:pPr>
        <w:spacing w:before="200" w:after="40"/>
      </w:pPr>
      <w:r>
        <w:rPr>
          <w:b/>
          <w:color w:val="1F3864"/>
          <w:sz w:val="24"/>
        </w:rPr>
        <w:t>17. GPS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erp_visits (check_in lat/lng, gps_status, out_of_route) / erp_visit_compliance; erp_check_in_visit with haversine + geofence + approval.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None.</w:t>
      </w:r>
    </w:p>
    <w:p>
      <w:pPr>
        <w:spacing w:before="200" w:after="40"/>
      </w:pPr>
      <w:r>
        <w:rPr>
          <w:b/>
          <w:color w:val="1F3864"/>
          <w:sz w:val="24"/>
        </w:rPr>
        <w:t>18. Merchandising</w:t>
      </w:r>
      <w:r>
        <w:rPr>
          <w:b/>
          <w:color w:val="B06A00"/>
          <w:sz w:val="22"/>
        </w:rPr>
        <w:t xml:space="preserve">   —   Partial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erp_perfect_store_scorecards/_scores / erp_msl_policies (KAKO_PERFECT_STORE); surveys via the generic form-builder.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 merchandising-specific survey/photo-audit UI (shelf share, planogram, MSL check at shelf).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Perfect-store cannot be executed in-field as a guided audit.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Post-pilot, or run pilot using generic forms for basic surveys.</w:t>
      </w:r>
    </w:p>
    <w:p>
      <w:pPr>
        <w:spacing w:before="200" w:after="40"/>
      </w:pPr>
      <w:r>
        <w:rPr>
          <w:b/>
          <w:color w:val="1F3864"/>
          <w:sz w:val="24"/>
        </w:rPr>
        <w:t>19. Trade Spend</w:t>
      </w:r>
      <w:r>
        <w:rPr>
          <w:b/>
          <w:color w:val="B06A00"/>
          <w:sz w:val="22"/>
        </w:rPr>
        <w:t xml:space="preserve">   —   Partial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Full data model (see #7) + /distribution/trade-spend read-only dashboard.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 promotion/claim lifecycle management UI.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Spend can be reported but not managed.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Couple with #7 promotions UI, post-pilot.</w:t>
      </w:r>
    </w:p>
    <w:p>
      <w:pPr>
        <w:spacing w:before="200" w:after="40"/>
      </w:pPr>
      <w:r>
        <w:rPr>
          <w:b/>
          <w:color w:val="1F3864"/>
          <w:sz w:val="24"/>
        </w:rPr>
        <w:t>20. Dashboards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/dashboard, /today, /supervisor, /distribution/* + /api/internal/kpi-snapshot.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None.</w:t>
      </w:r>
    </w:p>
    <w:p>
      <w:pPr>
        <w:spacing w:before="200" w:after="40"/>
      </w:pPr>
      <w:r>
        <w:rPr>
          <w:b/>
          <w:color w:val="1F3864"/>
          <w:sz w:val="24"/>
        </w:rPr>
        <w:t>21. Reports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/reports hub + many /distribution/* reports.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Validate the specific reports the pilot company needs.</w:t>
      </w:r>
    </w:p>
    <w:p>
      <w:pPr>
        <w:spacing w:before="200" w:after="40"/>
      </w:pPr>
      <w:r>
        <w:rPr>
          <w:b/>
          <w:color w:val="1F3864"/>
          <w:sz w:val="24"/>
        </w:rPr>
        <w:t>22. Change Requests</w:t>
      </w:r>
      <w:r>
        <w:rPr>
          <w:b/>
          <w:color w:val="1B7F37"/>
          <w:sz w:val="22"/>
        </w:rPr>
        <w:t xml:space="preserve">   —   Implemented (flag OFF)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Universal Change Request engine (Phases 1–9, 11, 12) — atomic SECURITY-DEFINER confirm, generic apply via allowlist + DFG, doc-type registry, workflow-driven approvals, full audit. KAKO_CHANGE_REQUESTS default OFF.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Phase 10 (customer absorption) deferred post-pilot by design.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while OFF.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Optional for pilot; enable only if the pilot needs governed master-data edits.</w:t>
      </w:r>
    </w:p>
    <w:p>
      <w:pPr>
        <w:spacing w:before="200" w:after="40"/>
      </w:pPr>
      <w:r>
        <w:rPr>
          <w:b/>
          <w:color w:val="1F3864"/>
          <w:sz w:val="24"/>
        </w:rPr>
        <w:t>23. Critical Alerts</w:t>
      </w:r>
      <w:r>
        <w:rPr>
          <w:b/>
          <w:color w:val="1B7F37"/>
          <w:sz w:val="22"/>
        </w:rPr>
        <w:t xml:space="preserve">   —   Implemented (flag OFF)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Platform alert engine (A1–A5, A3b, A8) — rules, sources, dedupe, dispatch, auto-resolve, cron tick. KAKO_CRITICAL_ALERTS default OFF.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A7 (near-expiry + route/GPS sources) deferred pending schema approval.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while OFF.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Optional for pilot. Low-stock/credit alerts would add value if enabled.</w:t>
      </w:r>
    </w:p>
    <w:p>
      <w:pPr>
        <w:spacing w:before="200" w:after="40"/>
      </w:pPr>
      <w:r>
        <w:rPr>
          <w:b/>
          <w:color w:val="1F3864"/>
          <w:sz w:val="24"/>
        </w:rPr>
        <w:t>24. Entitlements</w:t>
      </w:r>
      <w:r>
        <w:rPr>
          <w:b/>
          <w:color w:val="1B7F37"/>
          <w:sz w:val="22"/>
        </w:rPr>
        <w:t xml:space="preserve">   —   Implemented (flag OFF)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Module &amp; Feature Entitlement engine (E1–E7, E9) — catalog, per-company entitlements, fallback-safe gate + engine subsumption, owner/admin UIs. KAKO_ENTITLEMENTS default OFF; strict no-op while OFF.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E8 (per-user override login resolution) paused — approval-gated.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while OFF.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Keep OFF for a single-tenant pilot; not needed until multi-company packaging.</w:t>
      </w:r>
    </w:p>
    <w:p>
      <w:pPr>
        <w:spacing w:before="200" w:after="40"/>
      </w:pPr>
      <w:r>
        <w:rPr>
          <w:b/>
          <w:color w:val="1F3864"/>
          <w:sz w:val="24"/>
        </w:rPr>
        <w:t>25. Workflow / Approvals</w:t>
      </w:r>
      <w:r>
        <w:rPr>
          <w:b/>
          <w:color w:val="1B7F37"/>
          <w:sz w:val="22"/>
        </w:rPr>
        <w:t xml:space="preserve">   —   Implemented</w:t>
      </w:r>
    </w:p>
    <w:p>
      <w:pPr>
        <w:spacing w:after="40"/>
      </w:pPr>
      <w:r>
        <w:rPr>
          <w:b/>
          <w:sz w:val="20"/>
        </w:rPr>
        <w:t xml:space="preserve">Current implementation: </w:t>
      </w:r>
      <w:r>
        <w:rPr>
          <w:sz w:val="20"/>
        </w:rPr>
        <w:t>Mature engine reused across CR/Alerts — erp_workflow_definitions/_steps/_instances/_tasks, start/decide RPCs, TS runtime, update_record executor + allowlist, trigger events with payload filtering, role→user resolution, event bus, audit.</w:t>
      </w:r>
    </w:p>
    <w:p>
      <w:pPr>
        <w:spacing w:after="40"/>
      </w:pPr>
      <w:r>
        <w:rPr>
          <w:b/>
          <w:sz w:val="20"/>
        </w:rPr>
        <w:t xml:space="preserve">Gaps: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Risks: </w:t>
      </w:r>
      <w:r>
        <w:rPr>
          <w:sz w:val="20"/>
        </w:rPr>
        <w:t>None blocking.</w:t>
      </w:r>
    </w:p>
    <w:p>
      <w:pPr>
        <w:spacing w:after="40"/>
      </w:pPr>
      <w:r>
        <w:rPr>
          <w:b/>
          <w:sz w:val="20"/>
        </w:rPr>
        <w:t xml:space="preserve">Recommended next action: </w:t>
      </w:r>
      <w:r>
        <w:rPr>
          <w:sz w:val="20"/>
        </w:rPr>
        <w:t>Configure the approval chains the pilot needs (credit limit, van load adjust, etc.).</w:t>
      </w:r>
    </w:p>
    <w:p>
      <w:r>
        <w:br w:type="page"/>
      </w:r>
    </w:p>
    <w:p>
      <w:pPr>
        <w:spacing w:before="240" w:after="80"/>
      </w:pPr>
      <w:r>
        <w:rPr>
          <w:b/>
          <w:color w:val="1F3864"/>
          <w:sz w:val="32"/>
        </w:rPr>
        <w:t>A.  Minimum FMCG Pilot Scope</w:t>
      </w:r>
    </w:p>
    <w:p>
      <w:pPr>
        <w:spacing w:after="80"/>
      </w:pPr>
      <w:r>
        <w:rPr>
          <w:b w:val="0"/>
          <w:i w:val="0"/>
          <w:sz w:val="21"/>
        </w:rPr>
        <w:t>The set that can operate a direct van-sales distributor pilot today, using only Implemented capabilities: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Master data: Customers, Products, UoM, Pricing, Warehouses, Product Categories (inline-create only).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Inventory spine: Inventory, Stock Movements, Transfers.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Field ops: Routes, Journey Plans, GPS check-in/geofence, Van Sales request → approve → load → confirm → reconcile.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Finance: Invoices (+ tax submission, journal posting), Returns (office).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Visibility: Dashboards, Reports.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Backbone: Workflow / Approvals.</w:t>
      </w:r>
    </w:p>
    <w:p>
      <w:pPr>
        <w:spacing w:after="80"/>
      </w:pPr>
      <w:r>
        <w:rPr>
          <w:b w:val="0"/>
          <w:i/>
          <w:sz w:val="21"/>
        </w:rPr>
        <w:t>This delivers: load a van against approved stock requests, drive a GPS-tracked route, and reconcile the van back — with full inventory, invoicing, and reporting behind it. Platform engines (CR / Alerts / Entitlements) stay OFF.</w:t>
      </w:r>
    </w:p>
    <w:p>
      <w:pPr>
        <w:spacing w:before="240" w:after="80"/>
      </w:pPr>
      <w:r>
        <w:rPr>
          <w:b/>
          <w:color w:val="1F3864"/>
          <w:sz w:val="32"/>
        </w:rPr>
        <w:t>B.  Remaining Work Before a Real FMCG Pilot</w:t>
      </w:r>
    </w:p>
    <w:p>
      <w:pPr>
        <w:spacing w:after="80"/>
      </w:pPr>
      <w:r>
        <w:rPr>
          <w:b w:val="0"/>
          <w:i w:val="0"/>
          <w:sz w:val="21"/>
        </w:rPr>
        <w:t>A real van-sales pilot needs the rep to sell and collect cash in the field. In priority order:</w:t>
      </w:r>
    </w:p>
    <w:p>
      <w:pPr>
        <w:pStyle w:val="ListBullet"/>
        <w:spacing w:after="80"/>
      </w:pPr>
      <w:r>
        <w:rPr>
          <w:b/>
          <w:sz w:val="21"/>
        </w:rPr>
        <w:t xml:space="preserve">1. Van selling / van invoicing (#11) — </w:t>
      </w:r>
      <w:r>
        <w:rPr>
          <w:sz w:val="21"/>
        </w:rPr>
        <w:t xml:space="preserve">the van-sell transaction: van stock → customer invoice → settlement, incl. van returns.  </w:t>
      </w:r>
      <w:r>
        <w:rPr>
          <w:b/>
          <w:color w:val="B3261E"/>
          <w:sz w:val="21"/>
        </w:rPr>
        <w:t>Hard blocker.</w:t>
      </w:r>
    </w:p>
    <w:p>
      <w:pPr>
        <w:pStyle w:val="ListBullet"/>
        <w:spacing w:after="80"/>
      </w:pPr>
      <w:r>
        <w:rPr>
          <w:b/>
          <w:sz w:val="21"/>
        </w:rPr>
        <w:t xml:space="preserve">2. Collections entry + multi-invoice allocation UI (#14) — </w:t>
      </w:r>
      <w:r>
        <w:rPr>
          <w:sz w:val="21"/>
        </w:rPr>
        <w:t xml:space="preserve">record field receipts and apply them across invoices.  </w:t>
      </w:r>
      <w:r>
        <w:rPr>
          <w:b/>
          <w:color w:val="B3261E"/>
          <w:sz w:val="21"/>
        </w:rPr>
        <w:t>Hard blocker.</w:t>
      </w:r>
    </w:p>
    <w:p>
      <w:pPr>
        <w:pStyle w:val="ListBullet"/>
        <w:spacing w:after="80"/>
      </w:pPr>
      <w:r>
        <w:rPr>
          <w:b/>
          <w:sz w:val="21"/>
        </w:rPr>
        <w:t xml:space="preserve">3. Sales-order → invoice conversion (#12) — </w:t>
      </w:r>
      <w:r>
        <w:rPr>
          <w:sz w:val="21"/>
        </w:rPr>
        <w:t xml:space="preserve">only if pre-sell/telesales is in pilot scope.  </w:t>
      </w:r>
      <w:r>
        <w:rPr>
          <w:b/>
          <w:color w:val="B06A00"/>
          <w:sz w:val="21"/>
        </w:rPr>
        <w:t>Conditional.</w:t>
      </w:r>
    </w:p>
    <w:p>
      <w:pPr>
        <w:pStyle w:val="ListBullet"/>
        <w:spacing w:after="80"/>
      </w:pPr>
      <w:r>
        <w:rPr>
          <w:b/>
          <w:sz w:val="21"/>
        </w:rPr>
        <w:t xml:space="preserve">4. Promotions / trade-spend management UI (#7, #19) — </w:t>
      </w:r>
      <w:r>
        <w:rPr>
          <w:sz w:val="21"/>
        </w:rPr>
        <w:t xml:space="preserve">author and apply deals.  </w:t>
      </w:r>
      <w:r>
        <w:rPr>
          <w:b/>
          <w:color w:val="B06A00"/>
          <w:sz w:val="21"/>
        </w:rPr>
        <w:t>Soft — pilot can run without promotions.</w:t>
      </w:r>
    </w:p>
    <w:p>
      <w:pPr>
        <w:pStyle w:val="ListBullet"/>
        <w:spacing w:after="80"/>
      </w:pPr>
      <w:r>
        <w:rPr>
          <w:b/>
          <w:sz w:val="21"/>
        </w:rPr>
        <w:t xml:space="preserve">5. Brands master (#4) + Product-categories settings page (#3) — </w:t>
      </w:r>
      <w:r>
        <w:rPr>
          <w:sz w:val="21"/>
        </w:rPr>
        <w:t xml:space="preserve">master-data hygiene.  </w:t>
      </w:r>
      <w:r>
        <w:rPr>
          <w:b/>
          <w:color w:val="B06A00"/>
          <w:sz w:val="21"/>
        </w:rPr>
        <w:t>Soft — needed before brand-level analytics, not before first transactions.</w:t>
      </w:r>
    </w:p>
    <w:p>
      <w:pPr>
        <w:pStyle w:val="ListBullet"/>
        <w:spacing w:after="80"/>
      </w:pPr>
      <w:r>
        <w:rPr>
          <w:b/>
          <w:sz w:val="21"/>
        </w:rPr>
        <w:t xml:space="preserve">6. Merchandising survey/photo-audit UI (#18) — </w:t>
      </w:r>
      <w:r>
        <w:rPr>
          <w:sz w:val="21"/>
        </w:rPr>
        <w:t xml:space="preserve">guided in-field audits.  </w:t>
      </w:r>
      <w:r>
        <w:rPr>
          <w:b/>
          <w:color w:val="B06A00"/>
          <w:sz w:val="21"/>
        </w:rPr>
        <w:t>Soft — generic forms cover basics.</w:t>
      </w:r>
    </w:p>
    <w:p>
      <w:pPr>
        <w:spacing w:before="240" w:after="80"/>
      </w:pPr>
      <w:r>
        <w:rPr>
          <w:b/>
          <w:color w:val="1F3864"/>
          <w:sz w:val="32"/>
        </w:rPr>
        <w:t>C.  Recommended Build Order</w:t>
      </w:r>
    </w:p>
    <w:p>
      <w:pPr>
        <w:spacing w:after="60"/>
        <w:ind w:left="360"/>
      </w:pPr>
      <w:r>
        <w:rPr>
          <w:b/>
          <w:color w:val="1F3864"/>
          <w:sz w:val="21"/>
        </w:rPr>
        <w:t xml:space="preserve">1.  </w:t>
      </w:r>
      <w:r>
        <w:rPr>
          <w:sz w:val="21"/>
        </w:rPr>
        <w:t>Van selling / van invoicing (+ van returns) — unlocks the core motion; builds on the existing load/reconcile spine and invoice engine.</w:t>
      </w:r>
    </w:p>
    <w:p>
      <w:pPr>
        <w:spacing w:after="60"/>
        <w:ind w:left="360"/>
      </w:pPr>
      <w:r>
        <w:rPr>
          <w:b/>
          <w:color w:val="1F3864"/>
          <w:sz w:val="21"/>
        </w:rPr>
        <w:t xml:space="preserve">2.  </w:t>
      </w:r>
      <w:r>
        <w:rPr>
          <w:sz w:val="21"/>
        </w:rPr>
        <w:t>Collections entry + allocation UI — closes the cash loop; builds on existing erp_collections.</w:t>
      </w:r>
    </w:p>
    <w:p>
      <w:pPr>
        <w:spacing w:after="60"/>
        <w:ind w:left="360"/>
      </w:pPr>
      <w:r>
        <w:rPr>
          <w:b/>
          <w:color w:val="1F3864"/>
          <w:sz w:val="21"/>
        </w:rPr>
        <w:t xml:space="preserve">3.  </w:t>
      </w:r>
      <w:r>
        <w:rPr>
          <w:sz w:val="21"/>
        </w:rPr>
        <w:t>(If pre-sell in scope) Sales-order → invoice conversion.</w:t>
      </w:r>
    </w:p>
    <w:p>
      <w:pPr>
        <w:spacing w:after="60"/>
        <w:ind w:left="360"/>
      </w:pPr>
      <w:r>
        <w:rPr>
          <w:b/>
          <w:color w:val="1F3864"/>
          <w:sz w:val="21"/>
        </w:rPr>
        <w:t xml:space="preserve">4.  </w:t>
      </w:r>
      <w:r>
        <w:rPr>
          <w:sz w:val="21"/>
        </w:rPr>
        <w:t>Brands master + product-categories settings page — cheap master-data hardening; do alongside/after the cash loop.</w:t>
      </w:r>
    </w:p>
    <w:p>
      <w:pPr>
        <w:spacing w:after="60"/>
        <w:ind w:left="360"/>
      </w:pPr>
      <w:r>
        <w:rPr>
          <w:b/>
          <w:color w:val="1F3864"/>
          <w:sz w:val="21"/>
        </w:rPr>
        <w:t xml:space="preserve">5.  </w:t>
      </w:r>
      <w:r>
        <w:rPr>
          <w:sz w:val="21"/>
        </w:rPr>
        <w:t>Promotions / trade-spend lifecycle UI — the largest remaining build; schedule once the sell+collect loop is proven.</w:t>
      </w:r>
    </w:p>
    <w:p>
      <w:pPr>
        <w:spacing w:after="60"/>
        <w:ind w:left="360"/>
      </w:pPr>
      <w:r>
        <w:rPr>
          <w:b/>
          <w:color w:val="1F3864"/>
          <w:sz w:val="21"/>
        </w:rPr>
        <w:t xml:space="preserve">6.  </w:t>
      </w:r>
      <w:r>
        <w:rPr>
          <w:sz w:val="21"/>
        </w:rPr>
        <w:t>Merchandising audit UI — last; generic forms bridge the pilot.</w:t>
      </w:r>
    </w:p>
    <w:p>
      <w:pPr>
        <w:spacing w:after="120"/>
      </w:pPr>
      <w:r>
        <w:rPr>
          <w:b w:val="0"/>
          <w:i/>
          <w:sz w:val="21"/>
        </w:rPr>
        <w:t>Rationale: 1 and 2 are the only hard blockers and together complete sell → invoice → collect. Everything after is enhancement or conditional. None requires a new engine — all sit on existing tables and the workflow/invoice infrastructure.</w:t>
      </w:r>
    </w:p>
    <w:p>
      <w:pPr>
        <w:spacing w:before="240" w:after="80"/>
      </w:pPr>
      <w:r>
        <w:rPr>
          <w:b/>
          <w:color w:val="1F3864"/>
          <w:sz w:val="32"/>
        </w:rPr>
        <w:t>D.  Estimated Pilot Readiness Level</w:t>
      </w:r>
    </w:p>
    <w:p>
      <w:r>
        <w:rPr>
          <w:b/>
          <w:color w:val="1F3864"/>
          <w:sz w:val="40"/>
        </w:rPr>
        <w:t>≈ 75%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Master data, inventory, pricing, invoicing, routes, GPS, dashboards/reports and the workflow backbone are production-shaped and ready — the hard, structural two-thirds of an FMCG system.</w:t>
      </w:r>
    </w:p>
    <w:p>
      <w:pPr>
        <w:pStyle w:val="ListBullet"/>
        <w:spacing w:after="80"/>
      </w:pPr>
      <w:r>
        <w:rPr>
          <w:b w:val="0"/>
          <w:i w:val="0"/>
          <w:sz w:val="21"/>
        </w:rPr>
        <w:t>The remaining ~25% is concentrated in two field-transaction loops — van selling/invoicing and collections entry/allocation — plus softer master-data and promotions polish.</w:t>
      </w:r>
    </w:p>
    <w:p>
      <w:pPr>
        <w:spacing w:before="80"/>
      </w:pPr>
      <w:r>
        <w:rPr>
          <w:b/>
          <w:color w:val="1F3864"/>
          <w:sz w:val="21"/>
        </w:rPr>
        <w:t xml:space="preserve">Verdict: </w:t>
      </w:r>
      <w:r>
        <w:rPr>
          <w:sz w:val="21"/>
        </w:rPr>
        <w:t>A stock-distribution + invoicing pilot could start now. A true van-sales FMCG pilot (rep sells off the van and collects cash on route) needs items B-1 and B-2 first. Those two are the gate between "warehouse-to-van logistics" and "a van-sales company operating on VANTORA."</w:t>
      </w:r>
    </w:p>
    <w:p/>
    <w:p>
      <w:r>
        <w:rPr>
          <w:i/>
          <w:color w:val="555555"/>
          <w:sz w:val="19"/>
        </w:rPr>
        <w:t>Assessment only — no code written, no engines built, no flags changed. The two hard blockers (van-sell, collections-entry) are the precise answer to "what remains before a real FMCG pilot company can operate on VANTORA."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