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Customer Workbench Governance — Progress (G1–G3)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Customer Workbench Governance — Progress Report (G1–G3)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G1–G3 delivered, validated, pushed. G4–G7 pending.</w:t>
      </w:r>
    </w:p>
    <w:p>
      <w:r>
        <w:t>Reuse-first, one validated commit per phase. No business-logic, permission, RLS, or workflow change in any phase. Health is kept strictly separate from the customer master status.</w:t>
      </w:r>
    </w:p>
    <w:p>
      <w:pPr>
        <w:pStyle w:val="Heading2"/>
      </w:pPr>
      <w:r>
        <w:rPr>
          <w:color w:val="1F497D"/>
        </w:rPr>
        <w:t>G1 — Read-only Commercial &amp; Territory context  ✅</w:t>
      </w:r>
    </w:p>
    <w:p>
      <w:r>
        <w:t xml:space="preserve">Commit </w:t>
      </w:r>
      <w:r>
        <w:rPr>
          <w:rFonts w:ascii="Consolas" w:hAnsi="Consolas"/>
          <w:sz w:val="19"/>
        </w:rPr>
        <w:t>df01283</w:t>
      </w:r>
      <w:r>
        <w:t xml:space="preserve"> (+ supervisor follow-up </w:t>
      </w:r>
      <w:r>
        <w:rPr>
          <w:rFonts w:ascii="Consolas" w:hAnsi="Consolas"/>
          <w:sz w:val="19"/>
        </w:rPr>
        <w:t>67f1cda</w:t>
      </w:r>
      <w:r>
        <w:t>).</w:t>
      </w:r>
    </w:p>
    <w:p>
      <w:r>
        <w:t xml:space="preserve">Two read-only cards on the Customer 360 </w:t>
      </w:r>
      <w:r>
        <w:rPr>
          <w:b/>
        </w:rPr>
        <w:t>Overview</w:t>
      </w:r>
      <w:r>
        <w:t xml:space="preserve"> tab (display-only; edits stay governed in the Profile form):</w:t>
      </w:r>
    </w:p>
    <w:p>
      <w:pPr>
        <w:pStyle w:val="ListBullet"/>
      </w:pPr>
      <w:r>
        <w:rPr>
          <w:b/>
        </w:rPr>
        <w:t>Commercial:</w:t>
      </w:r>
      <w:r>
        <w:t xml:space="preserve"> Credit Limit · Payment Terms.</w:t>
      </w:r>
    </w:p>
    <w:p>
      <w:pPr>
        <w:pStyle w:val="ListBullet"/>
      </w:pPr>
      <w:r>
        <w:rPr>
          <w:b/>
        </w:rPr>
        <w:t>Territory &amp; Coverage:</w:t>
      </w:r>
      <w:r>
        <w:t xml:space="preserve"> Assigned Salesman · </w:t>
      </w:r>
      <w:r>
        <w:rPr>
          <w:b/>
        </w:rPr>
        <w:t>Supervisor</w:t>
      </w:r>
      <w:r>
        <w:t xml:space="preserve"> · Route · Region · Area · Visit Day.</w:t>
      </w:r>
    </w:p>
    <w:p>
      <w:r>
        <w:t xml:space="preserve">Supervisor is resolved from the salesman's </w:t>
      </w:r>
      <w:r>
        <w:rPr>
          <w:rFonts w:ascii="Consolas" w:hAnsi="Consolas"/>
          <w:sz w:val="19"/>
        </w:rPr>
        <w:t>erp_profiles.reports_to</w:t>
      </w:r>
      <w:r>
        <w:t xml:space="preserve"> (the existing supervisor link), shown "where available". The page loads active </w:t>
      </w:r>
      <w:r>
        <w:rPr>
          <w:rFonts w:ascii="Consolas" w:hAnsi="Consolas"/>
          <w:sz w:val="19"/>
        </w:rPr>
        <w:t>erp_routes</w:t>
      </w:r>
      <w:r>
        <w:t xml:space="preserve"> for the route name and a rep→supervisor map. Added the long-missing </w:t>
      </w:r>
      <w:r>
        <w:rPr>
          <w:rFonts w:ascii="Consolas" w:hAnsi="Consolas"/>
          <w:sz w:val="19"/>
        </w:rPr>
        <w:t>route_id</w:t>
      </w:r>
      <w:r>
        <w:t xml:space="preserve"> to the </w:t>
      </w:r>
      <w:r>
        <w:rPr>
          <w:rFonts w:ascii="Consolas" w:hAnsi="Consolas"/>
          <w:sz w:val="19"/>
        </w:rPr>
        <w:t>ErpCustomer</w:t>
      </w:r>
      <w:r>
        <w:t xml:space="preserve"> type (column already existed in the DB/RLS).</w:t>
      </w:r>
    </w:p>
    <w:p>
      <w:pPr>
        <w:pStyle w:val="Heading2"/>
      </w:pPr>
      <w:r>
        <w:rPr>
          <w:color w:val="1F497D"/>
        </w:rPr>
        <w:t>G2 — Last Activity summary  ✅</w:t>
      </w:r>
    </w:p>
    <w:p>
      <w:r>
        <w:t xml:space="preserve">Commit </w:t>
      </w:r>
      <w:r>
        <w:rPr>
          <w:rFonts w:ascii="Consolas" w:hAnsi="Consolas"/>
          <w:sz w:val="19"/>
        </w:rPr>
        <w:t>7317ca4</w:t>
      </w:r>
      <w:r>
        <w:t>.</w:t>
      </w:r>
    </w:p>
    <w:p>
      <w:r>
        <w:t xml:space="preserve">A </w:t>
      </w:r>
      <w:r>
        <w:rPr>
          <w:b/>
        </w:rPr>
        <w:t>Last Activity</w:t>
      </w:r>
      <w:r>
        <w:t xml:space="preserve"> card on the Overview tab: </w:t>
      </w:r>
      <w:r>
        <w:rPr>
          <w:b/>
        </w:rPr>
        <w:t>last visit · order · invoice · collection · return</w:t>
      </w:r>
      <w:r>
        <w:t xml:space="preserve">. </w:t>
      </w:r>
      <w:r>
        <w:rPr>
          <w:rFonts w:ascii="Consolas" w:hAnsi="Consolas"/>
          <w:sz w:val="19"/>
        </w:rPr>
        <w:t>loadCustomerDetailBundle</w:t>
      </w:r>
      <w:r>
        <w:t xml:space="preserve"> now returns a </w:t>
      </w:r>
      <w:r>
        <w:rPr>
          <w:rFonts w:ascii="Consolas" w:hAnsi="Consolas"/>
          <w:sz w:val="19"/>
        </w:rPr>
        <w:t>lastActivity</w:t>
      </w:r>
      <w:r>
        <w:t xml:space="preserve"> summary — last </w:t>
      </w:r>
      <w:r>
        <w:rPr>
          <w:b/>
        </w:rPr>
        <w:t>order</w:t>
      </w:r>
      <w:r>
        <w:t xml:space="preserve"> from </w:t>
      </w:r>
      <w:r>
        <w:rPr>
          <w:rFonts w:ascii="Consolas" w:hAnsi="Consolas"/>
          <w:sz w:val="19"/>
        </w:rPr>
        <w:t>erp_sales_orders</w:t>
      </w:r>
      <w:r>
        <w:t xml:space="preserve"> (distinct from invoices, drafts excluded); the rest derive from the existing merged 360 timeline (newest-first, first-match-per-kind). Localized "None" when absent.</w:t>
      </w:r>
    </w:p>
    <w:p>
      <w:pPr>
        <w:pStyle w:val="Heading2"/>
      </w:pPr>
      <w:r>
        <w:rPr>
          <w:color w:val="1F497D"/>
        </w:rPr>
        <w:t>G3 — Customer Health band + score  ✅</w:t>
      </w:r>
    </w:p>
    <w:p>
      <w:r>
        <w:t xml:space="preserve">Commit </w:t>
      </w:r>
      <w:r>
        <w:rPr>
          <w:rFonts w:ascii="Consolas" w:hAnsi="Consolas"/>
          <w:sz w:val="19"/>
        </w:rPr>
        <w:t>f6f2a00</w:t>
      </w:r>
      <w:r>
        <w:t>.</w:t>
      </w:r>
    </w:p>
    <w:p>
      <w:r>
        <w:t xml:space="preserve">A derived health signal, </w:t>
      </w:r>
      <w:r>
        <w:rPr>
          <w:b/>
        </w:rPr>
        <w:t>kept entirely separate from the master status</w:t>
      </w:r>
      <w:r>
        <w:t>:</w:t>
      </w:r>
    </w:p>
    <w:p>
      <w:pPr>
        <w:pStyle w:val="ListBullet"/>
      </w:pPr>
      <w:r>
        <w:rPr>
          <w:b/>
        </w:rPr>
        <w:t>Header:</w:t>
      </w:r>
      <w:r>
        <w:t xml:space="preserve"> a health chip </w:t>
      </w:r>
      <w:r>
        <w:rPr>
          <w:b/>
        </w:rPr>
        <w:t>beside</w:t>
      </w:r>
      <w:r>
        <w:t xml:space="preserve"> (never merged with) the status badge — e.g. </w:t>
      </w:r>
      <w:r>
        <w:rPr>
          <w:rFonts w:ascii="Consolas" w:hAnsi="Consolas"/>
          <w:sz w:val="19"/>
        </w:rPr>
        <w:t>[Active] [At risk · 65]</w:t>
      </w:r>
      <w:r>
        <w:t>.</w:t>
      </w:r>
    </w:p>
    <w:p>
      <w:pPr>
        <w:pStyle w:val="ListBullet"/>
      </w:pPr>
      <w:r>
        <w:rPr>
          <w:b/>
        </w:rPr>
        <w:t>Overview:</w:t>
      </w:r>
      <w:r>
        <w:t xml:space="preserve"> a Health card with the 0–100 score, band, and contributing signals (order/visit recency · overdue · returns-90d).</w:t>
      </w:r>
    </w:p>
    <w:p>
      <w:r>
        <w:t xml:space="preserve">A pure </w:t>
      </w:r>
      <w:r>
        <w:rPr>
          <w:rFonts w:ascii="Consolas" w:hAnsi="Consolas"/>
          <w:sz w:val="19"/>
        </w:rPr>
        <w:t>customer-health</w:t>
      </w:r>
      <w:r>
        <w:t xml:space="preserve"> helper derives the scorer inputs from the G2 bundle and reuses the existing </w:t>
      </w:r>
      <w:r>
        <w:rPr>
          <w:rFonts w:ascii="Consolas" w:hAnsi="Consolas"/>
          <w:sz w:val="19"/>
        </w:rPr>
        <w:t>customer-timeline/health</w:t>
      </w:r>
      <w:r>
        <w:t xml:space="preserve"> scorer (no </w:t>
      </w:r>
      <w:r>
        <w:rPr>
          <w:rFonts w:ascii="Consolas" w:hAnsi="Consolas"/>
          <w:sz w:val="19"/>
        </w:rPr>
        <w:t>erp_customer_timeline</w:t>
      </w:r>
      <w:r>
        <w:t xml:space="preserve"> activation). Approved bands: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Healthy</w:t>
            </w:r>
          </w:p>
        </w:tc>
        <w:tc>
          <w:tcPr>
            <w:tcW w:type="dxa" w:w="4320"/>
          </w:tcPr>
          <w:p>
            <w:r>
              <w:t>80–100</w:t>
            </w:r>
          </w:p>
        </w:tc>
      </w:tr>
      <w:tr>
        <w:tc>
          <w:tcPr>
            <w:tcW w:type="dxa" w:w="4320"/>
          </w:tcPr>
          <w:p>
            <w:r>
              <w:t>At Risk</w:t>
            </w:r>
          </w:p>
        </w:tc>
        <w:tc>
          <w:tcPr>
            <w:tcW w:type="dxa" w:w="4320"/>
          </w:tcPr>
          <w:p>
            <w:r>
              <w:t>60–79</w:t>
            </w:r>
          </w:p>
        </w:tc>
      </w:tr>
      <w:tr>
        <w:tc>
          <w:tcPr>
            <w:tcW w:type="dxa" w:w="4320"/>
          </w:tcPr>
          <w:p>
            <w:r>
              <w:t>Inactive</w:t>
            </w:r>
          </w:p>
        </w:tc>
        <w:tc>
          <w:tcPr>
            <w:tcW w:type="dxa" w:w="4320"/>
          </w:tcPr>
          <w:p>
            <w:r>
              <w:t>30–59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0–29</w:t>
            </w:r>
          </w:p>
        </w:tc>
      </w:tr>
    </w:tbl>
    <w:p/>
    <w:p>
      <w:r>
        <w:t>Master status (Active / Inactive / Suspended / Blocked) is unchanged.</w:t>
      </w:r>
    </w:p>
    <w:p>
      <w:pPr>
        <w:pStyle w:val="Heading2"/>
      </w:pPr>
      <w:r>
        <w:rPr>
          <w:color w:val="1F497D"/>
        </w:rPr>
        <w:t>Validation (each phase: tsc → tests → build → gap → report)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tests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</w:tr>
      <w:tr>
        <w:tc>
          <w:tcPr>
            <w:tcW w:type="dxa" w:w="1728"/>
          </w:tcPr>
          <w:p>
            <w:r>
              <w:t>G1 (+supervisor)</w:t>
            </w:r>
          </w:p>
        </w:tc>
        <w:tc>
          <w:tcPr>
            <w:tcW w:type="dxa" w:w="1728"/>
          </w:tcPr>
          <w:p>
            <w:r>
              <w:t>clean</w:t>
            </w:r>
          </w:p>
        </w:tc>
        <w:tc>
          <w:tcPr>
            <w:tcW w:type="dxa" w:w="1728"/>
          </w:tcPr>
          <w:p>
            <w:r>
              <w:t>1601 pass / 192 skip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display-only; no functional change</w:t>
            </w:r>
          </w:p>
        </w:tc>
      </w:tr>
      <w:t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clean</w:t>
            </w:r>
          </w:p>
        </w:tc>
        <w:tc>
          <w:tcPr>
            <w:tcW w:type="dxa" w:w="1728"/>
          </w:tcPr>
          <w:p>
            <w:r>
              <w:t>1601 pass / 192 skip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display-only; +1 bundle read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clean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1607 pass</w:t>
            </w:r>
            <w:r>
              <w:t xml:space="preserve"> (+6 health tests) / 192 skip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health ≠ status (two badges)</w:t>
            </w:r>
          </w:p>
        </w:tc>
      </w:tr>
    </w:tbl>
    <w:p/>
    <w:p>
      <w:r>
        <w:rPr>
          <w:rFonts w:ascii="Consolas" w:hAnsi="Consolas"/>
          <w:sz w:val="19"/>
        </w:rPr>
        <w:t>/customers</w:t>
      </w:r>
      <w:r>
        <w:t xml:space="preserve"> route weight: 22.4 → </w:t>
      </w:r>
      <w:r>
        <w:rPr>
          <w:b/>
        </w:rPr>
        <w:t>23.5 kB</w:t>
      </w:r>
      <w:r>
        <w:t xml:space="preserve"> across G1–G3. No business-logic / permission / RLS / workflow change.</w:t>
      </w:r>
    </w:p>
    <w:p>
      <w:pPr>
        <w:pStyle w:val="Heading2"/>
      </w:pPr>
      <w:r>
        <w:rPr>
          <w:color w:val="1F497D"/>
        </w:rPr>
        <w:t>Remaining governance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G4</w:t>
            </w:r>
          </w:p>
        </w:tc>
        <w:tc>
          <w:tcPr>
            <w:tcW w:type="dxa" w:w="2880"/>
          </w:tcPr>
          <w:p>
            <w:r>
              <w:t xml:space="preserve">Transfer history (read </w:t>
            </w:r>
            <w:r>
              <w:rPr>
                <w:rFonts w:ascii="Consolas" w:hAnsi="Consolas"/>
                <w:sz w:val="19"/>
              </w:rPr>
              <w:t>erp_customer_transfers</w:t>
            </w:r>
            <w:r>
              <w:t>: prev→new salesman/route/region + reason·date·status)</w:t>
            </w:r>
          </w:p>
        </w:tc>
        <w:tc>
          <w:tcPr>
            <w:tcW w:type="dxa" w:w="2880"/>
          </w:tcPr>
          <w:p>
            <w: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G5</w:t>
            </w:r>
          </w:p>
        </w:tc>
        <w:tc>
          <w:tcPr>
            <w:tcW w:type="dxa" w:w="2880"/>
          </w:tcPr>
          <w:p>
            <w:r>
              <w:t>Structured audit envelope (</w:t>
            </w:r>
            <w:r>
              <w:rPr>
                <w:rFonts w:ascii="Consolas" w:hAnsi="Consolas"/>
                <w:sz w:val="19"/>
              </w:rPr>
              <w:t>{field, oldValue, newValue, role, reason, requestRef}</w:t>
            </w:r>
            <w:r>
              <w:t>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G6</w:t>
            </w:r>
          </w:p>
        </w:tc>
        <w:tc>
          <w:tcPr>
            <w:tcW w:type="dxa" w:w="2880"/>
          </w:tcPr>
          <w:p>
            <w:r>
              <w:t xml:space="preserve">Field-governance default policy (non-admin → view → request; </w:t>
            </w:r>
            <w:r>
              <w:rPr>
                <w:b/>
              </w:rPr>
              <w:t>opt-in per company</w:t>
            </w:r>
            <w:r>
              <w:t>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G7</w:t>
            </w:r>
          </w:p>
        </w:tc>
        <w:tc>
          <w:tcPr>
            <w:tcW w:type="dxa" w:w="2880"/>
          </w:tcPr>
          <w:p>
            <w:r>
              <w:t xml:space="preserve">Change-request UI (deliberate affordance over the existing </w:t>
            </w:r>
            <w:r>
              <w:rPr>
                <w:rFonts w:ascii="Consolas" w:hAnsi="Consolas"/>
                <w:sz w:val="19"/>
              </w:rPr>
              <w:t>erp_customer_change_requests</w:t>
            </w:r>
            <w:r>
              <w:t xml:space="preserve"> backbone)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Country-aware Structured Address</w:t>
            </w:r>
          </w:p>
        </w:tc>
        <w:tc>
          <w:tcPr>
            <w:tcW w:type="dxa" w:w="2880"/>
          </w:tcPr>
          <w:p>
            <w:r>
              <w:t>design-only / deferred</w:t>
            </w:r>
          </w:p>
        </w:tc>
      </w:tr>
    </w:tbl>
    <w:p/>
    <w:p>
      <w:r>
        <w:t>Customer Planning &amp; Targeting remains a separate future workstream (out of G1–G7).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