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Coverage Engine — Design &amp; Implementation Plan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Coverage Status / Coverage Engine — Design &amp; Implementation Plan</w:t>
      </w:r>
    </w:p>
    <w:p>
      <w:r>
        <w:rPr>
          <w:b/>
        </w:rPr>
        <w:t>Workstream:</w:t>
      </w:r>
      <w:r>
        <w:t xml:space="preserve"> Priority #1 after Frequency Resolution (now closed)</w:t>
      </w:r>
    </w:p>
    <w:p>
      <w:r>
        <w:rPr>
          <w:b/>
        </w:rPr>
        <w:t>Status:</w:t>
      </w:r>
      <w:r>
        <w:t xml:space="preserve"> Design only — no implementation yet (gated; awaiting approval)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Objective</w:t>
      </w:r>
    </w:p>
    <w:p>
      <w:r>
        <w:t xml:space="preserve">Consolidate coverage into one coherent </w:t>
      </w:r>
      <w:r>
        <w:rPr>
          <w:b/>
        </w:rPr>
        <w:t>Coverage Engine</w:t>
      </w:r>
      <w:r>
        <w:t xml:space="preserve"> — a single, reuse-first source of</w:t>
      </w:r>
    </w:p>
    <w:p>
      <w:r>
        <w:t>truth for *"are we covering our customers as planned?"* — surfaced for managers and</w:t>
      </w:r>
    </w:p>
    <w:p>
      <w:r>
        <w:t xml:space="preserve">supervisors in </w:t>
      </w:r>
      <w:r>
        <w:rPr>
          <w:b/>
        </w:rPr>
        <w:t>Simple Mode</w:t>
      </w:r>
      <w:r>
        <w:t>, fed by the now-authoritative FR cadence, and shaped as a</w:t>
      </w:r>
    </w:p>
    <w:p>
      <w:r>
        <w:t xml:space="preserve">first-class </w:t>
      </w:r>
      <w:r>
        <w:rPr>
          <w:b/>
        </w:rPr>
        <w:t>read-model for TIS</w:t>
      </w:r>
      <w:r>
        <w:t>.</w:t>
      </w:r>
    </w:p>
    <w:p>
      <w:r>
        <w:t>Scope: coverage **read-model + rollups + manager/supervisor surfaces + GPS-compliance</w:t>
      </w:r>
    </w:p>
    <w:p>
      <w:r>
        <w:t>approvals + history**. Out of scope: route generation (FR/CJ done), optimization (TIS later).</w:t>
      </w:r>
    </w:p>
    <w:p>
      <w:pPr>
        <w:pStyle w:val="Heading2"/>
      </w:pPr>
      <w:r>
        <w:rPr>
          <w:color w:val="1F497D"/>
        </w:rPr>
        <w:t>2. Current State (audit — grounded in code)</w:t>
      </w:r>
    </w:p>
    <w:p>
      <w:r>
        <w:t xml:space="preserve">Coverage already exists in </w:t>
      </w:r>
      <w:r>
        <w:rPr>
          <w:b/>
        </w:rPr>
        <w:t>two complementary layers</w:t>
      </w:r>
      <w:r>
        <w:t>, both pure + tested:</w:t>
      </w:r>
    </w:p>
    <w:p>
      <w:pPr>
        <w:pStyle w:val="Heading3"/>
      </w:pPr>
      <w:r>
        <w:t xml:space="preserve">A. Operational coverage (rep-day) — </w:t>
      </w:r>
      <w:r>
        <w:rPr>
          <w:rFonts w:ascii="Consolas" w:hAnsi="Consolas"/>
          <w:sz w:val="19"/>
        </w:rPr>
        <w:t>src/lib/distribution/coverage/</w:t>
      </w:r>
    </w:p>
    <w:p>
      <w:pPr>
        <w:pStyle w:val="ListBullet"/>
      </w:pPr>
      <w:r>
        <w:rPr>
          <w:rFonts w:ascii="Consolas" w:hAnsi="Consolas"/>
          <w:sz w:val="19"/>
        </w:rPr>
        <w:t>kpi.ts</w:t>
      </w:r>
      <w:r>
        <w:t xml:space="preserve"> — </w:t>
      </w:r>
      <w:r>
        <w:rPr>
          <w:rFonts w:ascii="Consolas" w:hAnsi="Consolas"/>
          <w:sz w:val="19"/>
        </w:rPr>
        <w:t>coverageKpis</w:t>
      </w:r>
      <w:r>
        <w:t xml:space="preserve"> / </w:t>
      </w:r>
      <w:r>
        <w:rPr>
          <w:rFonts w:ascii="Consolas" w:hAnsi="Consolas"/>
          <w:sz w:val="19"/>
        </w:rPr>
        <w:t>rollupCoverage</w:t>
      </w:r>
      <w:r>
        <w:t>: planned · visited · plannedVisited · missed ·</w:t>
      </w:r>
    </w:p>
    <w:p>
      <w:r>
        <w:t xml:space="preserve">offRoute · productive · </w:t>
      </w:r>
      <w:r>
        <w:rPr>
          <w:b/>
        </w:rPr>
        <w:t>coverage% · adherence% · strike-rate%</w:t>
      </w:r>
      <w:r>
        <w:t xml:space="preserve"> (pure).</w:t>
      </w:r>
    </w:p>
    <w:p>
      <w:pPr>
        <w:pStyle w:val="ListBullet"/>
      </w:pPr>
      <w:r>
        <w:rPr>
          <w:rFonts w:ascii="Consolas" w:hAnsi="Consolas"/>
          <w:sz w:val="19"/>
        </w:rPr>
        <w:t>scorecard.ts</w:t>
      </w:r>
      <w:r>
        <w:t xml:space="preserve"> — </w:t>
      </w:r>
      <w:r>
        <w:rPr>
          <w:rFonts w:ascii="Consolas" w:hAnsi="Consolas"/>
          <w:sz w:val="19"/>
        </w:rPr>
        <w:t>repScorecard</w:t>
      </w:r>
      <w:r>
        <w:t xml:space="preserve"> (weighted rep scoring).</w:t>
      </w:r>
    </w:p>
    <w:p>
      <w:pPr>
        <w:pStyle w:val="ListBullet"/>
      </w:pPr>
      <w:r>
        <w:rPr>
          <w:rFonts w:ascii="Consolas" w:hAnsi="Consolas"/>
          <w:sz w:val="19"/>
        </w:rPr>
        <w:t>snapshot.ts</w:t>
      </w:r>
      <w:r>
        <w:t xml:space="preserve"> + gateways — persists rep-day KPIs to </w:t>
      </w:r>
      <w:r>
        <w:rPr>
          <w:rFonts w:ascii="Consolas" w:hAnsi="Consolas"/>
          <w:sz w:val="19"/>
        </w:rPr>
        <w:t>erp_rep_day_kpis</w:t>
      </w:r>
      <w:r>
        <w:t xml:space="preserve"> (mig 0193); batch.</w:t>
      </w:r>
    </w:p>
    <w:p>
      <w:pPr>
        <w:pStyle w:val="ListBullet"/>
      </w:pPr>
      <w:r>
        <w:rPr>
          <w:b/>
        </w:rPr>
        <w:t>Surface:</w:t>
      </w:r>
      <w:r>
        <w:t xml:space="preserve"> </w:t>
      </w:r>
      <w:r>
        <w:rPr>
          <w:rFonts w:ascii="Consolas" w:hAnsi="Consolas"/>
          <w:sz w:val="19"/>
        </w:rPr>
        <w:t>/distribution/coverage</w:t>
      </w:r>
      <w:r>
        <w:t xml:space="preserve"> (team rep-day dashboard) — </w:t>
      </w:r>
      <w:r>
        <w:rPr>
          <w:b/>
        </w:rPr>
        <w:t>flag-gated</w:t>
      </w:r>
    </w:p>
    <w:p>
      <w:r>
        <w:t>(</w:t>
      </w:r>
      <w:r>
        <w:rPr>
          <w:rFonts w:ascii="Consolas" w:hAnsi="Consolas"/>
          <w:sz w:val="19"/>
        </w:rPr>
        <w:t>DISTRIBUTION_ENABLED</w:t>
      </w:r>
      <w:r>
        <w:t xml:space="preserve">, inert by default) + </w:t>
      </w:r>
      <w:r>
        <w:rPr>
          <w:rFonts w:ascii="Consolas" w:hAnsi="Consolas"/>
          <w:sz w:val="19"/>
        </w:rPr>
        <w:t>/distribution/journey-compliance</w:t>
      </w:r>
      <w:r>
        <w:t>.</w:t>
      </w:r>
    </w:p>
    <w:p>
      <w:pPr>
        <w:pStyle w:val="Heading3"/>
      </w:pPr>
      <w:r>
        <w:t xml:space="preserve">B. Strategic coverage (customer cadence) — CJ-3, </w:t>
      </w:r>
      <w:r>
        <w:rPr>
          <w:rFonts w:ascii="Consolas" w:hAnsi="Consolas"/>
          <w:sz w:val="19"/>
        </w:rPr>
        <w:t>journey-plan/coverage-status*</w:t>
      </w:r>
    </w:p>
    <w:p>
      <w:pPr>
        <w:pStyle w:val="ListBullet"/>
      </w:pPr>
      <w:r>
        <w:rPr>
          <w:rFonts w:ascii="Consolas" w:hAnsi="Consolas"/>
          <w:sz w:val="19"/>
        </w:rPr>
        <w:t>coverage-status.ts</w:t>
      </w:r>
      <w:r>
        <w:t xml:space="preserve"> — On Track / Under / Over / Never, planned-vs-actual over 28 days</w:t>
      </w:r>
    </w:p>
    <w:p>
      <w:r>
        <w:t xml:space="preserve">(now </w:t>
      </w:r>
      <w:r>
        <w:rPr>
          <w:b/>
        </w:rPr>
        <w:t>FR-6 cadence-aware</w:t>
      </w:r>
      <w:r>
        <w:t xml:space="preserve"> — annual/custom respected).</w:t>
      </w:r>
    </w:p>
    <w:p>
      <w:pPr>
        <w:pStyle w:val="ListBullet"/>
      </w:pPr>
      <w:r>
        <w:rPr>
          <w:rFonts w:ascii="Consolas" w:hAnsi="Consolas"/>
          <w:sz w:val="19"/>
        </w:rPr>
        <w:t>coverage-status-server.ts</w:t>
      </w:r>
      <w:r>
        <w:t xml:space="preserve"> — </w:t>
      </w:r>
      <w:r>
        <w:rPr>
          <w:rFonts w:ascii="Consolas" w:hAnsi="Consolas"/>
          <w:sz w:val="19"/>
        </w:rPr>
        <w:t>loadCustomerCoverage</w:t>
      </w:r>
      <w:r>
        <w:t xml:space="preserve"> (single loader behind every surface).</w:t>
      </w:r>
    </w:p>
    <w:p>
      <w:pPr>
        <w:pStyle w:val="ListBullet"/>
      </w:pPr>
      <w:r>
        <w:rPr>
          <w:b/>
        </w:rPr>
        <w:t>Surfaces:</w:t>
      </w:r>
      <w:r>
        <w:t xml:space="preserve"> Customer 360 coverage badge + </w:t>
      </w:r>
      <w:r>
        <w:rPr>
          <w:rFonts w:ascii="Consolas" w:hAnsi="Consolas"/>
          <w:sz w:val="19"/>
        </w:rPr>
        <w:t>/distribution/coverage-customers</w:t>
      </w:r>
      <w:r>
        <w:t xml:space="preserve"> (exception</w:t>
      </w:r>
    </w:p>
    <w:p>
      <w:r>
        <w:t>list with status/salesman/route filters).</w:t>
      </w:r>
    </w:p>
    <w:p>
      <w:pPr>
        <w:pStyle w:val="Heading3"/>
      </w:pPr>
      <w:r>
        <w:t>Data anchors</w:t>
      </w:r>
    </w:p>
    <w:p>
      <w:r>
        <w:rPr>
          <w:rFonts w:ascii="Consolas" w:hAnsi="Consolas"/>
          <w:sz w:val="19"/>
        </w:rPr>
        <w:t>erp_visits</w:t>
      </w:r>
      <w:r>
        <w:t xml:space="preserve"> (actuals) · </w:t>
      </w:r>
      <w:r>
        <w:rPr>
          <w:rFonts w:ascii="Consolas" w:hAnsi="Consolas"/>
          <w:sz w:val="19"/>
        </w:rPr>
        <w:t>erp_journey_plans</w:t>
      </w:r>
      <w:r>
        <w:t xml:space="preserve"> (+ </w:t>
      </w:r>
      <w:r>
        <w:rPr>
          <w:rFonts w:ascii="Consolas" w:hAnsi="Consolas"/>
          <w:sz w:val="19"/>
        </w:rPr>
        <w:t>frequency_token</w:t>
      </w:r>
      <w:r>
        <w:t xml:space="preserve">, target) · </w:t>
      </w:r>
      <w:r>
        <w:rPr>
          <w:rFonts w:ascii="Consolas" w:hAnsi="Consolas"/>
          <w:sz w:val="19"/>
        </w:rPr>
        <w:t>erp_work_sessions</w:t>
      </w:r>
    </w:p>
    <w:p>
      <w:r>
        <w:t xml:space="preserve">(coverage_pct/gps/out-of-route, rep-day persisted) · </w:t>
      </w:r>
      <w:r>
        <w:rPr>
          <w:rFonts w:ascii="Consolas" w:hAnsi="Consolas"/>
          <w:sz w:val="19"/>
        </w:rPr>
        <w:t>erp_visit_compliance</w:t>
      </w:r>
      <w:r>
        <w:t xml:space="preserve"> (gps_violation,</w:t>
      </w:r>
    </w:p>
    <w:p>
      <w:r>
        <w:t xml:space="preserve">out_of_route, wrong_day, out_of_sequence) · </w:t>
      </w:r>
      <w:r>
        <w:rPr>
          <w:rFonts w:ascii="Consolas" w:hAnsi="Consolas"/>
          <w:sz w:val="19"/>
        </w:rPr>
        <w:t>erp_rep_day_kpis</w:t>
      </w:r>
      <w:r>
        <w:t xml:space="preserve"> (snapshots).</w:t>
      </w:r>
    </w:p>
    <w:p>
      <w:r>
        <w:rPr>
          <w:b/>
        </w:rPr>
        <w:t>Finding:</w:t>
      </w:r>
      <w:r>
        <w:t xml:space="preserve"> the engines are strong but </w:t>
      </w:r>
      <w:r>
        <w:rPr>
          <w:b/>
        </w:rPr>
        <w:t>fragmented</w:t>
      </w:r>
      <w:r>
        <w:t xml:space="preserve"> — two layers with separate entry points,</w:t>
      </w:r>
    </w:p>
    <w:p>
      <w:r>
        <w:t xml:space="preserve">the rep-day dashboard is flag-gated, there is </w:t>
      </w:r>
      <w:r>
        <w:rPr>
          <w:b/>
        </w:rPr>
        <w:t>no manager rollup of customer coverage status</w:t>
      </w:r>
    </w:p>
    <w:p>
      <w:r>
        <w:t xml:space="preserve">(by salesman/route/region), </w:t>
      </w:r>
      <w:r>
        <w:rPr>
          <w:b/>
        </w:rPr>
        <w:t>no coverage trend/history</w:t>
      </w:r>
      <w:r>
        <w:t>, and **GPS-compliance approvals are</w:t>
      </w:r>
    </w:p>
    <w:p>
      <w:r>
        <w:t>not wired to the approval queue**. The Coverage Engine workstream unifies and surfaces, it does</w:t>
      </w:r>
    </w:p>
    <w:p>
      <w:r>
        <w:t>not rebuild.</w:t>
      </w:r>
    </w:p>
    <w:p>
      <w:pPr>
        <w:pStyle w:val="Heading2"/>
      </w:pPr>
      <w:r>
        <w:rPr>
          <w:color w:val="1F497D"/>
        </w:rPr>
        <w:t>3. Gap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Severity</w:t>
            </w:r>
          </w:p>
        </w:tc>
      </w:tr>
      <w:tr>
        <w:tc>
          <w:tcPr>
            <w:tcW w:type="dxa" w:w="2880"/>
          </w:tcPr>
          <w:p>
            <w:r>
              <w:t>CG-1</w:t>
            </w:r>
          </w:p>
        </w:tc>
        <w:tc>
          <w:tcPr>
            <w:tcW w:type="dxa" w:w="2880"/>
          </w:tcPr>
          <w:p>
            <w:r>
              <w:t xml:space="preserve">No </w:t>
            </w:r>
            <w:r>
              <w:rPr>
                <w:b/>
              </w:rPr>
              <w:t>rollup</w:t>
            </w:r>
            <w:r>
              <w:t xml:space="preserve"> of customer coverage status by salesman / route / region (only the flat list)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CG-2</w:t>
            </w:r>
          </w:p>
        </w:tc>
        <w:tc>
          <w:tcPr>
            <w:tcW w:type="dxa" w:w="2880"/>
          </w:tcPr>
          <w:p>
            <w:r>
              <w:t xml:space="preserve">No </w:t>
            </w:r>
            <w:r>
              <w:rPr>
                <w:b/>
              </w:rPr>
              <w:t>manager/supervisor coverage dashboard</w:t>
            </w:r>
            <w:r>
              <w:t xml:space="preserve"> unifying operational + strategic in one Simple-Mode view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CG-3</w:t>
            </w:r>
          </w:p>
        </w:tc>
        <w:tc>
          <w:tcPr>
            <w:tcW w:type="dxa" w:w="2880"/>
          </w:tcPr>
          <w:p>
            <w:r>
              <w:t xml:space="preserve">Two engines, </w:t>
            </w:r>
            <w:r>
              <w:rPr>
                <w:b/>
              </w:rPr>
              <w:t>no single façade</w:t>
            </w:r>
            <w:r>
              <w:t xml:space="preserve"> — consumers must know which layer to call (blocks TIS reuse)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CG-4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GPS-compliance approvals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erp_visit_compliance</w:t>
            </w:r>
            <w:r>
              <w:t>) not routed through the approval queue + G5 audit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CG-5</w:t>
            </w:r>
          </w:p>
        </w:tc>
        <w:tc>
          <w:tcPr>
            <w:tcW w:type="dxa" w:w="2880"/>
          </w:tcPr>
          <w:p>
            <w:r>
              <w:t xml:space="preserve">No </w:t>
            </w:r>
            <w:r>
              <w:rPr>
                <w:b/>
              </w:rPr>
              <w:t>coverage trend/history</w:t>
            </w:r>
            <w:r>
              <w:t xml:space="preserve"> (status is point-in-time; no week-over-week movement)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CG-6</w:t>
            </w:r>
          </w:p>
        </w:tc>
        <w:tc>
          <w:tcPr>
            <w:tcW w:type="dxa" w:w="2880"/>
          </w:tcPr>
          <w:p>
            <w:r>
              <w:t xml:space="preserve">Operational dashboard </w:t>
            </w:r>
            <w:r>
              <w:rPr>
                <w:b/>
              </w:rPr>
              <w:t>flag-gated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DISTRIBUTION_ENABLED</w:t>
            </w:r>
            <w:r>
              <w:t>) — not consistently discoverable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/>
    <w:p>
      <w:pPr>
        <w:pStyle w:val="Heading2"/>
      </w:pPr>
      <w:r>
        <w:rPr>
          <w:color w:val="1F497D"/>
        </w:rPr>
        <w:t>4. Reuse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Existing asset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Reuse</w:t>
            </w:r>
          </w:p>
        </w:tc>
      </w:tr>
      <w:tr>
        <w:tc>
          <w:tcPr>
            <w:tcW w:type="dxa" w:w="2880"/>
          </w:tcPr>
          <w:p>
            <w:r>
              <w:t>Customer coverage status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coverage-status.ts</w:t>
            </w:r>
            <w:r>
              <w:t xml:space="preserve"> (CJ-3)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Single coverage loader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coverage-status-server.ts</w:t>
            </w:r>
          </w:p>
        </w:tc>
        <w:tc>
          <w:tcPr>
            <w:tcW w:type="dxa" w:w="2880"/>
          </w:tcPr>
          <w:p>
            <w:r>
              <w:t>100% (extend for rollup)</w:t>
            </w:r>
          </w:p>
        </w:tc>
      </w:tr>
      <w:tr>
        <w:tc>
          <w:tcPr>
            <w:tcW w:type="dxa" w:w="2880"/>
          </w:tcPr>
          <w:p>
            <w:r>
              <w:t>Rep-day KPIs / rollup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coverage/kpi.ts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Rep scorecard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coverage/scorecard.ts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Snapshot persistence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coverage/snapshot.ts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erp_rep_day_kpis</w:t>
            </w:r>
          </w:p>
        </w:tc>
        <w:tc>
          <w:tcPr>
            <w:tcW w:type="dxa" w:w="2880"/>
          </w:tcPr>
          <w:p>
            <w:r>
              <w:t>reuse pattern for history</w:t>
            </w:r>
          </w:p>
        </w:tc>
      </w:tr>
      <w:tr>
        <w:tc>
          <w:tcPr>
            <w:tcW w:type="dxa" w:w="2880"/>
          </w:tcPr>
          <w:p>
            <w:r>
              <w:t>Cadence (annual/custom)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cadence.ts</w:t>
            </w:r>
            <w:r>
              <w:t xml:space="preserve"> (FR-6)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Approval queue + G5 audit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erp_workflow_start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auditEnvelope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/approvals</w:t>
            </w:r>
          </w:p>
        </w:tc>
        <w:tc>
          <w:tcPr>
            <w:tcW w:type="dxa" w:w="2880"/>
          </w:tcPr>
          <w:p>
            <w:r>
              <w:t>100% (CG-4)</w:t>
            </w:r>
          </w:p>
        </w:tc>
      </w:tr>
      <w:tr>
        <w:tc>
          <w:tcPr>
            <w:tcW w:type="dxa" w:w="2880"/>
          </w:tcPr>
          <w:p>
            <w:r>
              <w:t>Territory/ownership context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salesman_id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reports_to</w:t>
            </w:r>
            <w:r>
              <w:t>, route/region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r>
        <w:rPr>
          <w:b/>
        </w:rPr>
        <w:t>Estimated reuse ≈ 85%.</w:t>
      </w:r>
      <w:r>
        <w:t xml:space="preserve"> Net-new: a rollup read-model, a manager dashboard surface, a thin</w:t>
      </w:r>
    </w:p>
    <w:p>
      <w:r>
        <w:t>Coverage Engine façade, a compliance-approval handler, and an optional history snapshot.</w:t>
      </w:r>
    </w:p>
    <w:p>
      <w:pPr>
        <w:pStyle w:val="Heading2"/>
      </w:pPr>
      <w:r>
        <w:rPr>
          <w:color w:val="1F497D"/>
        </w:rPr>
        <w:t>5. Recommended Architecture</w:t>
      </w:r>
    </w:p>
    <w:p>
      <w:pPr>
        <w:pStyle w:val="Heading3"/>
      </w:pPr>
      <w:r>
        <w:t>5.1 Coverage Engine façade (one entry point)</w:t>
      </w:r>
    </w:p>
    <w:p>
      <w:r>
        <w:t>A single module re-exporting both lenses behind a documented API, so every consumer (manager</w:t>
      </w:r>
    </w:p>
    <w:p>
      <w:r>
        <w:t xml:space="preserve">dashboard, Customer 360, TIS, Geo) calls </w:t>
      </w:r>
      <w:r>
        <w:rPr>
          <w:b/>
        </w:rPr>
        <w:t>one</w:t>
      </w:r>
      <w:r>
        <w:t xml:space="preserve"> thing:</w:t>
      </w:r>
    </w:p>
    <w:p>
      <w:pPr>
        <w:ind w:left="240"/>
      </w:pPr>
      <w:r>
        <w:rPr>
          <w:rFonts w:ascii="Consolas" w:hAnsi="Consolas"/>
          <w:sz w:val="18"/>
        </w:rPr>
        <w:t>coverage-engine/</w:t>
        <w:br/>
        <w:t xml:space="preserve">  customerCoverage(customerIds, asOf)      → CJ-3 strategic status (per customer)</w:t>
        <w:br/>
        <w:t xml:space="preserve">  coverageRollup(scope, asOf)              → NEW: counts by status, grouped by</w:t>
        <w:br/>
        <w:t xml:space="preserve">                                              salesman | route | region (read-model)</w:t>
        <w:br/>
        <w:t xml:space="preserve">  repDayCoverage(repIds, date)             → operational KPIs (coverage/kpi)</w:t>
        <w:br/>
        <w:t xml:space="preserve">  (history hooks — CG-5)</w:t>
      </w:r>
    </w:p>
    <w:p>
      <w:r>
        <w:t xml:space="preserve">Pure read-models + thin server loaders; </w:t>
      </w:r>
      <w:r>
        <w:rPr>
          <w:b/>
        </w:rPr>
        <w:t>no duplicated logic</w:t>
      </w:r>
      <w:r>
        <w:t xml:space="preserve"> — it composes the existing</w:t>
      </w:r>
    </w:p>
    <w:p>
      <w:r>
        <w:t>engines. This façade is the TIS "coverage" dataset contract.</w:t>
      </w:r>
    </w:p>
    <w:p>
      <w:pPr>
        <w:pStyle w:val="Heading3"/>
      </w:pPr>
      <w:r>
        <w:t>5.2 Rollup read-model (CG-1)</w:t>
      </w:r>
    </w:p>
    <w:p>
      <w:r>
        <w:t xml:space="preserve">Pure: given per-customer </w:t>
      </w:r>
      <w:r>
        <w:rPr>
          <w:rFonts w:ascii="Consolas" w:hAnsi="Consolas"/>
          <w:sz w:val="19"/>
        </w:rPr>
        <w:t>CustomerCoverage</w:t>
      </w:r>
      <w:r>
        <w:t xml:space="preserve"> + grouping keys (salesman/route/region), produce</w:t>
      </w:r>
    </w:p>
    <w:p>
      <w:r>
        <w:rPr>
          <w:rFonts w:ascii="Consolas" w:hAnsi="Consolas"/>
          <w:sz w:val="19"/>
        </w:rPr>
        <w:t>{ onTrack, underCovered, overCovered, neverVisited, total, onTrackPct }</w:t>
      </w:r>
      <w:r>
        <w:t xml:space="preserve"> per group. Reuses</w:t>
      </w:r>
    </w:p>
    <w:p>
      <w:r>
        <w:rPr>
          <w:rFonts w:ascii="Consolas" w:hAnsi="Consolas"/>
          <w:sz w:val="19"/>
        </w:rPr>
        <w:t>loadCustomerCoverage</w:t>
      </w:r>
      <w:r>
        <w:t>; adds grouping only.</w:t>
      </w:r>
    </w:p>
    <w:p>
      <w:pPr>
        <w:pStyle w:val="Heading3"/>
      </w:pPr>
      <w:r>
        <w:t>5.3 Manager/Supervisor dashboard (CG-2) — Simple Mode</w:t>
      </w:r>
    </w:p>
    <w:p>
      <w:r>
        <w:t xml:space="preserve">One screen, plain language: </w:t>
      </w:r>
      <w:r>
        <w:rPr>
          <w:b/>
        </w:rPr>
        <w:t>"82% of your customers are on track"</w:t>
      </w:r>
      <w:r>
        <w:t xml:space="preserve"> + the exception buckets</w:t>
      </w:r>
    </w:p>
    <w:p>
      <w:r>
        <w:t xml:space="preserve">(Under / Never / Over) as drill-down chips into the existing </w:t>
      </w:r>
      <w:r>
        <w:rPr>
          <w:rFonts w:ascii="Consolas" w:hAnsi="Consolas"/>
          <w:sz w:val="19"/>
        </w:rPr>
        <w:t>/distribution/coverage-customers</w:t>
      </w:r>
    </w:p>
    <w:p>
      <w:r>
        <w:t xml:space="preserve">list (pre-filtered). Supervisor sees their team (RLS + </w:t>
      </w:r>
      <w:r>
        <w:rPr>
          <w:rFonts w:ascii="Consolas" w:hAnsi="Consolas"/>
          <w:sz w:val="19"/>
        </w:rPr>
        <w:t>reports_to</w:t>
      </w:r>
      <w:r>
        <w:t>); manager sees branch/region.</w:t>
      </w:r>
    </w:p>
    <w:p>
      <w:r>
        <w:rPr>
          <w:b/>
        </w:rPr>
        <w:t>Zero configuration</w:t>
      </w:r>
      <w:r>
        <w:t xml:space="preserve"> — opens on the headline number; no weights, no settings.</w:t>
      </w:r>
    </w:p>
    <w:p>
      <w:pPr>
        <w:pStyle w:val="Heading3"/>
      </w:pPr>
      <w:r>
        <w:t>5.4 GPS-compliance approvals (CG-4)</w:t>
      </w:r>
    </w:p>
    <w:p>
      <w:r>
        <w:t xml:space="preserve">Route </w:t>
      </w:r>
      <w:r>
        <w:rPr>
          <w:rFonts w:ascii="Consolas" w:hAnsi="Consolas"/>
          <w:sz w:val="19"/>
        </w:rPr>
        <w:t>erp_visit_compliance</w:t>
      </w:r>
      <w:r>
        <w:t xml:space="preserve"> items (gps_violation / out_of_route / wrong_day) through the</w:t>
      </w:r>
    </w:p>
    <w:p>
      <w:r>
        <w:t xml:space="preserve">existing approval queue with a G5 </w:t>
      </w:r>
      <w:r>
        <w:rPr>
          <w:rFonts w:ascii="Consolas" w:hAnsi="Consolas"/>
          <w:sz w:val="19"/>
        </w:rPr>
        <w:t>auditEnvelope</w:t>
      </w:r>
      <w:r>
        <w:t xml:space="preserve"> on decision — reusing the customer-change</w:t>
      </w:r>
    </w:p>
    <w:p>
      <w:r>
        <w:t>pattern. No new approval UI.</w:t>
      </w:r>
    </w:p>
    <w:p>
      <w:pPr>
        <w:pStyle w:val="Heading3"/>
      </w:pPr>
      <w:r>
        <w:t>5.5 Coverage history (CG-5, optional)</w:t>
      </w:r>
    </w:p>
    <w:p>
      <w:r>
        <w:t xml:space="preserve">Snapshot customer coverage status per period (reuse the </w:t>
      </w:r>
      <w:r>
        <w:rPr>
          <w:rFonts w:ascii="Consolas" w:hAnsi="Consolas"/>
          <w:sz w:val="19"/>
        </w:rPr>
        <w:t>snapshot.ts</w:t>
      </w:r>
      <w:r>
        <w:t xml:space="preserve"> pattern → a small</w:t>
      </w:r>
    </w:p>
    <w:p>
      <w:r>
        <w:rPr>
          <w:rFonts w:ascii="Consolas" w:hAnsi="Consolas"/>
          <w:sz w:val="19"/>
        </w:rPr>
        <w:t>erp_customer_coverage_history</w:t>
      </w:r>
      <w:r>
        <w:t xml:space="preserve"> table) to show week-over-week movement. Additive.</w:t>
      </w:r>
    </w:p>
    <w:p>
      <w:pPr>
        <w:pStyle w:val="Heading3"/>
      </w:pPr>
      <w:r>
        <w:t>5.6 TIS alignment</w:t>
      </w:r>
    </w:p>
    <w:p>
      <w:r>
        <w:t xml:space="preserve">The façade's </w:t>
      </w:r>
      <w:r>
        <w:rPr>
          <w:rFonts w:ascii="Consolas" w:hAnsi="Consolas"/>
          <w:sz w:val="19"/>
        </w:rPr>
        <w:t>coverageRollup</w:t>
      </w:r>
      <w:r>
        <w:t xml:space="preserve"> + </w:t>
      </w:r>
      <w:r>
        <w:rPr>
          <w:rFonts w:ascii="Consolas" w:hAnsi="Consolas"/>
          <w:sz w:val="19"/>
        </w:rPr>
        <w:t>customerCoverage</w:t>
      </w:r>
      <w:r>
        <w:t xml:space="preserve"> become the </w:t>
      </w:r>
      <w:r>
        <w:rPr>
          <w:b/>
        </w:rPr>
        <w:t>coverage columns/layer</w:t>
      </w:r>
      <w:r>
        <w:t xml:space="preserve"> in the</w:t>
      </w:r>
    </w:p>
    <w:p>
      <w:r>
        <w:t>shared TIS dataset and the Geo "coverage map" layer — no rework when TIS starts.</w:t>
      </w:r>
    </w:p>
    <w:p>
      <w:pPr>
        <w:pStyle w:val="Heading2"/>
      </w:pPr>
      <w:r>
        <w:rPr>
          <w:color w:val="1F497D"/>
        </w:rPr>
        <w:t>6. Implementation Roadmap (phased, gated)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Risk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CV-1</w:t>
            </w:r>
          </w:p>
        </w:tc>
        <w:tc>
          <w:tcPr>
            <w:tcW w:type="dxa" w:w="2160"/>
          </w:tcPr>
          <w:p>
            <w:r>
              <w:t xml:space="preserve">Coverage Engine façade + </w:t>
            </w:r>
            <w:r>
              <w:rPr>
                <w:b/>
              </w:rPr>
              <w:t>rollup read-model</w:t>
            </w:r>
            <w:r>
              <w:t xml:space="preserve"> (pure + tests); group by salesman/route/region</w:t>
            </w:r>
          </w:p>
        </w:tc>
        <w:tc>
          <w:tcPr>
            <w:tcW w:type="dxa" w:w="2160"/>
          </w:tcPr>
          <w:p>
            <w:r>
              <w:t>~0.5–1d</w:t>
            </w:r>
          </w:p>
        </w:tc>
        <w:tc>
          <w:tcPr>
            <w:tcW w:type="dxa" w:w="2160"/>
          </w:tcPr>
          <w:p>
            <w:r>
              <w:t>Low (pure, reuse)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CV-2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Manager/Supervisor Coverage Dashboard</w:t>
            </w:r>
            <w:r>
              <w:t xml:space="preserve"> (Simple Mode headline + exception drill-down to the existing list)</w:t>
            </w:r>
          </w:p>
        </w:tc>
        <w:tc>
          <w:tcPr>
            <w:tcW w:type="dxa" w:w="2160"/>
          </w:tcPr>
          <w:p>
            <w:r>
              <w:t>~1–1.5d</w:t>
            </w:r>
          </w:p>
        </w:tc>
        <w:tc>
          <w:tcPr>
            <w:tcW w:type="dxa" w:w="2160"/>
          </w:tcPr>
          <w:p>
            <w:r>
              <w:t>Low–Med (UI)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CV-3</w:t>
            </w:r>
          </w:p>
        </w:tc>
        <w:tc>
          <w:tcPr>
            <w:tcW w:type="dxa" w:w="2160"/>
          </w:tcPr>
          <w:p>
            <w:r>
              <w:t>Make operational rep-day dashboard consistently discoverable; link both lenses from the dashboard</w:t>
            </w:r>
          </w:p>
        </w:tc>
        <w:tc>
          <w:tcPr>
            <w:tcW w:type="dxa" w:w="2160"/>
          </w:tcPr>
          <w:p>
            <w:r>
              <w:t>~0.5d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CV-4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GPS-compliance approvals</w:t>
            </w:r>
            <w:r>
              <w:t xml:space="preserve"> via approval queue + G5 audit envelope</w:t>
            </w:r>
          </w:p>
        </w:tc>
        <w:tc>
          <w:tcPr>
            <w:tcW w:type="dxa" w:w="2160"/>
          </w:tcPr>
          <w:p>
            <w:r>
              <w:t>~1–1.5d</w:t>
            </w:r>
          </w:p>
        </w:tc>
        <w:tc>
          <w:tcPr>
            <w:tcW w:type="dxa" w:w="2160"/>
          </w:tcPr>
          <w:p>
            <w:r>
              <w:t>Med (workflow)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CV-5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 history</w:t>
            </w:r>
            <w:r>
              <w:t xml:space="preserve"> snapshot + week-over-week movement (optional)</w:t>
            </w:r>
          </w:p>
        </w:tc>
        <w:tc>
          <w:tcPr>
            <w:tcW w:type="dxa" w:w="2160"/>
          </w:tcPr>
          <w:p>
            <w:r>
              <w:t>~1d</w:t>
            </w:r>
          </w:p>
        </w:tc>
        <w:tc>
          <w:tcPr>
            <w:tcW w:type="dxa" w:w="2160"/>
          </w:tcPr>
          <w:p>
            <w:r>
              <w:t>Med (additive schema)</w:t>
            </w:r>
          </w:p>
        </w:tc>
      </w:tr>
    </w:tbl>
    <w:p/>
    <w:p>
      <w:r>
        <w:rPr>
          <w:b/>
        </w:rPr>
        <w:t>Recommended sequence:</w:t>
      </w:r>
      <w:r>
        <w:t xml:space="preserve"> CV-1 → CV-2 → CV-3 (the visible manager value), then CV-4</w:t>
      </w:r>
    </w:p>
    <w:p>
      <w:r>
        <w:t>(governance), with CV-5 optional. One validated phase per commit, Word review per phase.</w:t>
      </w:r>
    </w:p>
    <w:p>
      <w:pPr>
        <w:pStyle w:val="Heading2"/>
      </w:pPr>
      <w:r>
        <w:rPr>
          <w:color w:val="1F497D"/>
        </w:rPr>
        <w:t>7. Simple Mode (mandatory)</w:t>
      </w:r>
    </w:p>
    <w:p>
      <w:pPr>
        <w:pStyle w:val="ListBullet"/>
      </w:pPr>
      <w:r>
        <w:t xml:space="preserve">The dashboard opens on a </w:t>
      </w:r>
      <w:r>
        <w:rPr>
          <w:b/>
        </w:rPr>
        <w:t>single sentence + number</w:t>
      </w:r>
      <w:r>
        <w:t xml:space="preserve"> ("82% on track this period"), with</w:t>
      </w:r>
    </w:p>
    <w:p>
      <w:r>
        <w:t>exception buckets as one-tap drill-downs — a non-expert needs no training.</w:t>
      </w:r>
    </w:p>
    <w:p>
      <w:pPr>
        <w:pStyle w:val="ListBullet"/>
      </w:pPr>
      <w:r>
        <w:t>No weights, thresholds, or cadence internals exposed; the 28-day window and bands are sensible</w:t>
      </w:r>
    </w:p>
    <w:p>
      <w:r>
        <w:t>defaults (already shipped in CJ-3).</w:t>
      </w:r>
    </w:p>
    <w:p>
      <w:pPr>
        <w:pStyle w:val="ListBullet"/>
      </w:pPr>
      <w:r>
        <w:t>Advanced (window length, per-status thresholds) is opt-in behind an "Advanced" affordance,</w:t>
      </w:r>
    </w:p>
    <w:p>
      <w:r>
        <w:t>never on the default screen.</w:t>
      </w:r>
    </w:p>
    <w:p>
      <w:pPr>
        <w:pStyle w:val="Heading2"/>
      </w:pPr>
      <w:r>
        <w:rPr>
          <w:color w:val="1F497D"/>
        </w:rPr>
        <w:t>8. Business Impact</w:t>
      </w:r>
    </w:p>
    <w:p>
      <w:pPr>
        <w:pStyle w:val="ListBullet"/>
      </w:pPr>
      <w:r>
        <w:rPr>
          <w:b/>
        </w:rPr>
        <w:t>Managers see coverage health at a glance</w:t>
      </w:r>
      <w:r>
        <w:t xml:space="preserve"> and act on exceptions (Under/Never) instead of</w:t>
      </w:r>
    </w:p>
    <w:p>
      <w:r>
        <w:t>reading raw lists — the highest-frequency field-management question.</w:t>
      </w:r>
    </w:p>
    <w:p>
      <w:pPr>
        <w:pStyle w:val="ListBullet"/>
      </w:pPr>
      <w:r>
        <w:rPr>
          <w:b/>
        </w:rPr>
        <w:t>Governed compliance</w:t>
      </w:r>
      <w:r>
        <w:t>: GPS/out-of-route exceptions get an auditable approval path.</w:t>
      </w:r>
    </w:p>
    <w:p>
      <w:pPr>
        <w:pStyle w:val="ListBullet"/>
      </w:pPr>
      <w:r>
        <w:rPr>
          <w:b/>
        </w:rPr>
        <w:t>One coverage source of truth</w:t>
      </w:r>
      <w:r>
        <w:t xml:space="preserve"> feeding Customer Health, Journey Planning, and TIS — no</w:t>
      </w:r>
    </w:p>
    <w:p>
      <w:r>
        <w:t>divergent numbers across screens.</w:t>
      </w:r>
    </w:p>
    <w:p>
      <w:pPr>
        <w:pStyle w:val="ListBullet"/>
      </w:pPr>
      <w:r>
        <w:rPr>
          <w:b/>
        </w:rPr>
        <w:t>Cadence-correct</w:t>
      </w:r>
      <w:r>
        <w:t>: low-frequency (annual/custom) outlets are judged fairly (FR-6).</w:t>
      </w:r>
    </w:p>
    <w:p>
      <w:pPr>
        <w:pStyle w:val="Heading2"/>
      </w:pPr>
      <w:r>
        <w:rPr>
          <w:color w:val="1F497D"/>
        </w:rPr>
        <w:t>9. Open Decisions (for approval)</w:t>
      </w:r>
    </w:p>
    <w:p>
      <w:pPr>
        <w:pStyle w:val="ListNumber"/>
      </w:pPr>
      <w:r>
        <w:rPr>
          <w:b/>
        </w:rPr>
        <w:t>Scope of CV:</w:t>
      </w:r>
      <w:r>
        <w:t xml:space="preserve"> CV-1→CV-4 now, CV-5 (history) deferred? (Recommended.)</w:t>
      </w:r>
    </w:p>
    <w:p>
      <w:pPr>
        <w:pStyle w:val="ListNumber"/>
      </w:pPr>
      <w:r>
        <w:rPr>
          <w:b/>
        </w:rPr>
        <w:t>Operational dashboard flag:</w:t>
      </w:r>
      <w:r>
        <w:t xml:space="preserve"> keep </w:t>
      </w:r>
      <w:r>
        <w:rPr>
          <w:rFonts w:ascii="Consolas" w:hAnsi="Consolas"/>
          <w:sz w:val="19"/>
        </w:rPr>
        <w:t>DISTRIBUTION_ENABLED</w:t>
      </w:r>
      <w:r>
        <w:t xml:space="preserve"> gating, or surface the unified</w:t>
      </w:r>
    </w:p>
    <w:p>
      <w:r>
        <w:t xml:space="preserve">manager dashboard ungated under existing </w:t>
      </w:r>
      <w:r>
        <w:rPr>
          <w:rFonts w:ascii="Consolas" w:hAnsi="Consolas"/>
          <w:sz w:val="19"/>
        </w:rPr>
        <w:t>reports.view</w:t>
      </w:r>
      <w:r>
        <w:t>? (Recommend ungated for the new</w:t>
      </w:r>
    </w:p>
    <w:p>
      <w:r>
        <w:t>Simple-Mode dashboard; leave the legacy rep-day page as-is.)</w:t>
      </w:r>
    </w:p>
    <w:p>
      <w:pPr>
        <w:pStyle w:val="ListNumber"/>
      </w:pPr>
      <w:r>
        <w:rPr>
          <w:b/>
        </w:rPr>
        <w:t>History (CV-5):</w:t>
      </w:r>
      <w:r>
        <w:t xml:space="preserve"> additive </w:t>
      </w:r>
      <w:r>
        <w:rPr>
          <w:rFonts w:ascii="Consolas" w:hAnsi="Consolas"/>
          <w:sz w:val="19"/>
        </w:rPr>
        <w:t>erp_customer_coverage_history</w:t>
      </w:r>
      <w:r>
        <w:t xml:space="preserve"> now, or defer to TIS trends?</w:t>
      </w:r>
    </w:p>
    <w:p>
      <w:r>
        <w:t>Awaiting approval of scope + sequence before CV-1.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