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Customer Workbench — Governance Enhancements: Implementation Plan &amp; Effort (G1–G8)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Customer Workbench — Governance Enhancements: Implementation Plan &amp; Effort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*Plan approved in scope; G1–G7 awaiting two decisions before coding. G8 (structured address) is design-only/deferred. No implementation in this document.*</w:t>
      </w:r>
    </w:p>
    <w:p>
      <w:r>
        <w:rPr>
          <w:b/>
        </w:rPr>
        <w:t>Method:</w:t>
      </w:r>
      <w:r>
        <w:t xml:space="preserve"> one focused, validated commit per phase (tsc · full suite · build · gap-check), same cadence as P5. Constraints: reuse existing engines; </w:t>
      </w:r>
      <w:r>
        <w:rPr>
          <w:b/>
        </w:rPr>
        <w:t>no permission-model change</w:t>
      </w:r>
      <w:r>
        <w:t xml:space="preserve">, </w:t>
      </w:r>
      <w:r>
        <w:rPr>
          <w:b/>
        </w:rPr>
        <w:t>no RLS change</w:t>
      </w:r>
      <w:r>
        <w:t>; existing credit/GPS/status critical-action flows untouched. Pricing excluded (separate workstream). Coverage items (visit frequency, coverage status, JP adherence, route optimization/balancing) deferred to the Coverage &amp; Journey-Plan engine.</w:t>
      </w:r>
    </w:p>
    <w:p>
      <w:r>
        <w:rPr>
          <w:b/>
        </w:rPr>
        <w:t>Grounding (de-risks the estimate):</w:t>
      </w:r>
      <w:r>
        <w:t xml:space="preserve"> the change-request backbone is already wired (</w:t>
      </w:r>
      <w:r>
        <w:rPr>
          <w:rFonts w:ascii="Consolas" w:hAnsi="Consolas"/>
          <w:sz w:val="19"/>
        </w:rPr>
        <w:t>upsertCustomer</w:t>
      </w:r>
      <w:r>
        <w:t xml:space="preserve"> writes </w:t>
      </w:r>
      <w:r>
        <w:rPr>
          <w:rFonts w:ascii="Consolas" w:hAnsi="Consolas"/>
          <w:sz w:val="19"/>
        </w:rPr>
        <w:t>erp_customer_change_requests</w:t>
      </w:r>
      <w:r>
        <w:t xml:space="preserve">; </w:t>
      </w:r>
      <w:r>
        <w:rPr>
          <w:rFonts w:ascii="Consolas" w:hAnsi="Consolas"/>
          <w:sz w:val="19"/>
        </w:rPr>
        <w:t>workflow-handlers</w:t>
      </w:r>
      <w:r>
        <w:t xml:space="preserve"> approves/applies; integration test exists); orders are distinct from invoices (</w:t>
      </w:r>
      <w:r>
        <w:rPr>
          <w:rFonts w:ascii="Consolas" w:hAnsi="Consolas"/>
          <w:sz w:val="19"/>
        </w:rPr>
        <w:t>erp_sales_orders</w:t>
      </w:r>
      <w:r>
        <w:t xml:space="preserve">); </w:t>
      </w:r>
      <w:r>
        <w:rPr>
          <w:rFonts w:ascii="Consolas" w:hAnsi="Consolas"/>
          <w:sz w:val="19"/>
        </w:rPr>
        <w:t>upsertCustomer</w:t>
      </w:r>
      <w:r>
        <w:t xml:space="preserve"> already reads old values and runs field-governance write-enforcement.</w:t>
      </w:r>
    </w:p>
    <w:p>
      <w:pPr>
        <w:pStyle w:val="Heading2"/>
      </w:pPr>
      <w:r>
        <w:rPr>
          <w:color w:val="1F497D"/>
        </w:rPr>
        <w:t>Phases G1–G7 (approved scope)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Reuses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New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G1 — Read-only context</w:t>
            </w:r>
          </w:p>
        </w:tc>
        <w:tc>
          <w:tcPr>
            <w:tcW w:type="dxa" w:w="1440"/>
          </w:tcPr>
          <w:p>
            <w:r>
              <w:t>Territory (route·region·area·salesman·visit day) + Commercial (credit limit·payment terms) on Overview</w:t>
            </w:r>
          </w:p>
        </w:tc>
        <w:tc>
          <w:tcPr>
            <w:tcW w:type="dxa" w:w="1440"/>
          </w:tcPr>
          <w:p>
            <w:r>
              <w:t xml:space="preserve">customer record; </w:t>
            </w:r>
            <w:r>
              <w:rPr>
                <w:rFonts w:ascii="Consolas" w:hAnsi="Consolas"/>
                <w:sz w:val="19"/>
              </w:rPr>
              <w:t>SectionCard</w:t>
            </w:r>
            <w:r>
              <w:t>/</w:t>
            </w:r>
            <w:r>
              <w:rPr>
                <w:rFonts w:ascii="Consolas" w:hAnsi="Consolas"/>
                <w:sz w:val="19"/>
              </w:rPr>
              <w:t>SummaryList</w:t>
            </w:r>
            <w:r>
              <w:t>; route-name lookup</w:t>
            </w:r>
          </w:p>
        </w:tc>
        <w:tc>
          <w:tcPr>
            <w:tcW w:type="dxa" w:w="1440"/>
          </w:tcPr>
          <w:p>
            <w:r>
              <w:t>small loader add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</w:t>
            </w:r>
            <w:r>
              <w:t xml:space="preserve"> (~½d)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G2 — Last Activity</w:t>
            </w:r>
          </w:p>
        </w:tc>
        <w:tc>
          <w:tcPr>
            <w:tcW w:type="dxa" w:w="1440"/>
          </w:tcPr>
          <w:p>
            <w:r>
              <w:t>Last visit·order·invoice·collection·return on Overview</w:t>
            </w:r>
          </w:p>
        </w:tc>
        <w:tc>
          <w:tcPr>
            <w:tcW w:type="dxa" w:w="1440"/>
          </w:tcPr>
          <w:p>
            <w:r>
              <w:t>bundle timeline; statement</w:t>
            </w:r>
          </w:p>
        </w:tc>
        <w:tc>
          <w:tcPr>
            <w:tcW w:type="dxa" w:w="1440"/>
          </w:tcPr>
          <w:p>
            <w:r>
              <w:t xml:space="preserve">extend bundle loader: </w:t>
            </w:r>
            <w:r>
              <w:rPr>
                <w:rFonts w:ascii="Consolas" w:hAnsi="Consolas"/>
                <w:sz w:val="19"/>
              </w:rPr>
              <w:t>erp_sales_orders</w:t>
            </w:r>
            <w:r>
              <w:t xml:space="preserve"> (last order) + last collection; pure last-per-kind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  <w:r>
              <w:t xml:space="preserve"> (~1d)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G3 — Health band + score</w:t>
            </w:r>
          </w:p>
        </w:tc>
        <w:tc>
          <w:tcPr>
            <w:tcW w:type="dxa" w:w="1440"/>
          </w:tcPr>
          <w:p>
            <w:r>
              <w:t>Health chip (header) + breakdown (Overview), beside master status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customer-timeline/health</w:t>
            </w:r>
          </w:p>
        </w:tc>
        <w:tc>
          <w:tcPr>
            <w:tcW w:type="dxa" w:w="1440"/>
          </w:tcPr>
          <w:p>
            <w:r>
              <w:t xml:space="preserve">adapter deriving inputs from bundle (no </w:t>
            </w:r>
            <w:r>
              <w:rPr>
                <w:rFonts w:ascii="Consolas" w:hAnsi="Consolas"/>
                <w:sz w:val="19"/>
              </w:rPr>
              <w:t>erp_customer_timeline</w:t>
            </w:r>
            <w:r>
              <w:t xml:space="preserve"> activation); band thresholds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  <w:r>
              <w:t xml:space="preserve"> (~1d)</w:t>
            </w:r>
          </w:p>
        </w:tc>
        <w:tc>
          <w:tcPr>
            <w:tcW w:type="dxa" w:w="1440"/>
          </w:tcPr>
          <w:p>
            <w:r>
              <w:t>Low–Med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G4 — Transfer history</w:t>
            </w:r>
          </w:p>
        </w:tc>
        <w:tc>
          <w:tcPr>
            <w:tcW w:type="dxa" w:w="1440"/>
          </w:tcPr>
          <w:p>
            <w:r>
              <w:t>prev→new salesman·route·region + reason·date·status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erp_customer_transfers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RelatedChips</w:t>
            </w:r>
            <w:r>
              <w:t>/table</w:t>
            </w:r>
          </w:p>
        </w:tc>
        <w:tc>
          <w:tcPr>
            <w:tcW w:type="dxa" w:w="1440"/>
          </w:tcPr>
          <w:p>
            <w:r>
              <w:t>read-only loader + section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S–M</w:t>
            </w:r>
            <w:r>
              <w:t xml:space="preserve"> (~¾d)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G5 — Structured audit envelope</w:t>
            </w:r>
          </w:p>
        </w:tc>
        <w:tc>
          <w:tcPr>
            <w:tcW w:type="dxa" w:w="1440"/>
          </w:tcPr>
          <w:p>
            <w:r>
              <w:t xml:space="preserve">standardise </w:t>
            </w:r>
            <w:r>
              <w:rPr>
                <w:rFonts w:ascii="Consolas" w:hAnsi="Consolas"/>
                <w:sz w:val="19"/>
              </w:rPr>
              <w:t>details</w:t>
            </w:r>
            <w:r>
              <w:t xml:space="preserve"> to </w:t>
            </w:r>
            <w:r>
              <w:rPr>
                <w:rFonts w:ascii="Consolas" w:hAnsi="Consolas"/>
                <w:sz w:val="19"/>
              </w:rPr>
              <w:t>{field, oldValue, newValue, role, reason, requestRef}</w:t>
            </w:r>
            <w:r>
              <w:t xml:space="preserve"> across direct-edits + applied requests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logAudit</w:t>
            </w:r>
            <w:r>
              <w:t>; existing old-value reads</w:t>
            </w:r>
          </w:p>
        </w:tc>
        <w:tc>
          <w:tcPr>
            <w:tcW w:type="dxa" w:w="1440"/>
          </w:tcPr>
          <w:p>
            <w:r>
              <w:t>envelope helper + apply at write sites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  <w:r>
              <w:t xml:space="preserve"> (~1–1.5d)</w:t>
            </w:r>
          </w:p>
        </w:tc>
        <w:tc>
          <w:tcPr>
            <w:tcW w:type="dxa" w:w="144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G6 — Field governance default policy</w:t>
            </w:r>
          </w:p>
        </w:tc>
        <w:tc>
          <w:tcPr>
            <w:tcW w:type="dxa" w:w="1440"/>
          </w:tcPr>
          <w:p>
            <w:r>
              <w:t xml:space="preserve">non-admins → </w:t>
            </w:r>
            <w:r>
              <w:rPr>
                <w:rFonts w:ascii="Consolas" w:hAnsi="Consolas"/>
                <w:sz w:val="19"/>
              </w:rPr>
              <w:t>view</w:t>
            </w:r>
            <w:r>
              <w:t xml:space="preserve"> (→ request) on the 10 governed fields; Admin keeps </w:t>
            </w:r>
            <w:r>
              <w:rPr>
                <w:rFonts w:ascii="Consolas" w:hAnsi="Consolas"/>
                <w:sz w:val="19"/>
              </w:rPr>
              <w:t>edit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resolveLayout</w:t>
            </w:r>
            <w:r>
              <w:t xml:space="preserve"> + existing write-enforcement</w:t>
            </w:r>
          </w:p>
        </w:tc>
        <w:tc>
          <w:tcPr>
            <w:tcW w:type="dxa" w:w="1440"/>
          </w:tcPr>
          <w:p>
            <w:r>
              <w:t>default access map (fallback) + tests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M–L</w:t>
            </w:r>
            <w:r>
              <w:t xml:space="preserve"> (~1.5–2d)</w:t>
            </w:r>
          </w:p>
        </w:tc>
        <w:tc>
          <w:tcPr>
            <w:tcW w:type="dxa" w:w="1440"/>
          </w:tcPr>
          <w:p>
            <w:r>
              <w:t>Med–High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G7 — Change Request UI</w:t>
            </w:r>
          </w:p>
        </w:tc>
        <w:tc>
          <w:tcPr>
            <w:tcW w:type="dxa" w:w="1440"/>
          </w:tcPr>
          <w:p>
            <w:r>
              <w:t>deliberate "Request change" affordance + pending-request visibility</w:t>
            </w:r>
          </w:p>
        </w:tc>
        <w:tc>
          <w:tcPr>
            <w:tcW w:type="dxa" w:w="1440"/>
          </w:tcPr>
          <w:p>
            <w:r>
              <w:t>existing submit + approve/apply</w:t>
            </w:r>
          </w:p>
        </w:tc>
        <w:tc>
          <w:tcPr>
            <w:tcW w:type="dxa" w:w="1440"/>
          </w:tcPr>
          <w:p>
            <w:r>
              <w:t>submit affordance + pending surface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</w:t>
            </w:r>
            <w:r>
              <w:t xml:space="preserve"> (~1–1.5d)</w:t>
            </w:r>
          </w:p>
        </w:tc>
        <w:tc>
          <w:tcPr>
            <w:tcW w:type="dxa" w:w="1440"/>
          </w:tcPr>
          <w:p>
            <w:r>
              <w:t>Med</w:t>
            </w:r>
          </w:p>
        </w:tc>
      </w:tr>
    </w:tbl>
    <w:p/>
    <w:p>
      <w:r>
        <w:rPr>
          <w:b/>
        </w:rPr>
        <w:t>G1–G7 total: ~7–9 focused dev-days, 7 validated commits.</w:t>
      </w:r>
    </w:p>
    <w:p>
      <w:r>
        <w:rPr>
          <w:b/>
        </w:rPr>
        <w:t>Open decisions before G3/G6:</w:t>
      </w:r>
    </w:p>
    <w:p>
      <w:pPr>
        <w:pStyle w:val="ListNumber"/>
      </w:pPr>
      <w:r>
        <w:t>Health band thresholds (proposed: Active ≥ 70 · At-Risk 40–69 · Inactive &lt; 40; Blocked = master-status override). Health chip sits *beside* the master-status badge.</w:t>
      </w:r>
    </w:p>
    <w:p>
      <w:pPr>
        <w:pStyle w:val="ListNumber"/>
      </w:pPr>
      <w:r>
        <w:t xml:space="preserve">Governance default rollout: all-companies baseline vs </w:t>
      </w:r>
      <w:r>
        <w:rPr>
          <w:b/>
        </w:rPr>
        <w:t>opt-in toggle</w:t>
      </w:r>
      <w:r>
        <w:t xml:space="preserve"> (recommended) so live tenants aren't silently changed.</w:t>
      </w:r>
    </w:p>
    <w:p>
      <w:pPr>
        <w:pStyle w:val="Heading2"/>
      </w:pPr>
      <w:r>
        <w:rPr>
          <w:color w:val="1F497D"/>
        </w:rPr>
        <w:t>G8 — Country-aware Structured Address (DESIGN ONLY — deferred, after G1–G7)</w:t>
      </w:r>
    </w:p>
    <w:p>
      <w:pPr>
        <w:ind w:left="360"/>
      </w:pPr>
      <w:r>
        <w:rPr>
          <w:i/>
        </w:rPr>
      </w:r>
      <w:r>
        <w:rPr>
          <w:i/>
        </w:rPr>
        <w:t xml:space="preserve">No schema migration, no implementation now. Designed as a </w:t>
      </w:r>
      <w:r>
        <w:rPr>
          <w:b/>
          <w:i/>
        </w:rPr>
        <w:t>multi-country</w:t>
      </w:r>
      <w:r>
        <w:rPr>
          <w:i/>
        </w:rPr>
        <w:t xml:space="preserve"> model, </w:t>
      </w:r>
      <w:r>
        <w:rPr>
          <w:b/>
          <w:i/>
        </w:rPr>
        <w:t>not</w:t>
      </w:r>
      <w:r>
        <w:rPr>
          <w:i/>
        </w:rPr>
        <w:t xml:space="preserve"> KSA-only. The existing free-text </w:t>
      </w:r>
      <w:r>
        <w:rPr>
          <w:rFonts w:ascii="Consolas" w:hAnsi="Consolas"/>
          <w:i/>
          <w:sz w:val="19"/>
        </w:rPr>
        <w:t>national_address</w:t>
      </w:r>
      <w:r>
        <w:rPr>
          <w:i/>
        </w:rPr>
        <w:t xml:space="preserve"> is </w:t>
      </w:r>
      <w:r>
        <w:rPr>
          <w:b/>
          <w:i/>
        </w:rPr>
        <w:t>retained for backward compatibility</w:t>
      </w:r>
      <w:r>
        <w:rPr>
          <w:i/>
        </w:rPr>
        <w:t>.</w:t>
      </w:r>
    </w:p>
    <w:p>
      <w:pPr>
        <w:pStyle w:val="Heading3"/>
      </w:pPr>
      <w:r>
        <w:t>Trigger</w:t>
      </w:r>
    </w:p>
    <w:p>
      <w:r>
        <w:t>The KSA (SPL) National Address has 8 structured components (bilingual): Building Number / رقم المبنى · Street Name / اسم الشارع · District / الحي · City / المدينة · Postal Code / الرمز البريدي · Additional Number / الرقم الإضافي · Unit Number / رقم الوحدة (optional) · Short Address / العنوان المختصر. Other countries use different components — the model must be country-driven.</w:t>
      </w:r>
    </w:p>
    <w:p>
      <w:pPr>
        <w:pStyle w:val="Heading3"/>
      </w:pPr>
      <w:r>
        <w:t>Proposed model</w:t>
      </w:r>
    </w:p>
    <w:p>
      <w:pPr>
        <w:pStyle w:val="ListBullet"/>
      </w:pPr>
      <w:r>
        <w:rPr>
          <w:b/>
        </w:rPr>
        <w:t>Storage:</w:t>
      </w:r>
      <w:r>
        <w:t xml:space="preserve"> add an additive, nullable </w:t>
      </w:r>
      <w:r>
        <w:rPr>
          <w:b/>
        </w:rPr>
        <w:t>`structured_address` JSONB</w:t>
      </w:r>
      <w:r>
        <w:t xml:space="preserve"> column on </w:t>
      </w:r>
      <w:r>
        <w:rPr>
          <w:rFonts w:ascii="Consolas" w:hAnsi="Consolas"/>
          <w:sz w:val="19"/>
        </w:rPr>
        <w:t>erp_customers</w:t>
      </w:r>
      <w:r>
        <w:t xml:space="preserve"> (+ a resolved </w:t>
      </w:r>
      <w:r>
        <w:rPr>
          <w:b/>
        </w:rPr>
        <w:t>`country_code`</w:t>
      </w:r>
      <w:r>
        <w:t xml:space="preserve">, defaulting to the company country). JSONB holds country-keyed components. *Rejected alternatives:* discrete KSA columns (not multi-country); a separate </w:t>
      </w:r>
      <w:r>
        <w:rPr>
          <w:rFonts w:ascii="Consolas" w:hAnsi="Consolas"/>
          <w:sz w:val="19"/>
        </w:rPr>
        <w:t>erp_customer_addresses</w:t>
      </w:r>
      <w:r>
        <w:t xml:space="preserve"> table (more flexible / multi-address, but heavier — park as a future option if multiple addresses per customer are needed).</w:t>
      </w:r>
    </w:p>
    <w:p>
      <w:pPr>
        <w:pStyle w:val="ListBullet"/>
      </w:pPr>
      <w:r>
        <w:rPr>
          <w:b/>
        </w:rPr>
        <w:t>Country-format registry (code/config):</w:t>
      </w:r>
      <w:r>
        <w:t xml:space="preserve"> per ISO-3166 country → ordered component list, bilingual/local labels, required/optional, and validation (e.g. KSA: postal code = 5 digits, additional number = 4 digits, short address = 4 letters + 4 digits </w:t>
      </w:r>
      <w:r>
        <w:rPr>
          <w:rFonts w:ascii="Consolas" w:hAnsi="Consolas"/>
          <w:sz w:val="19"/>
        </w:rPr>
        <w:t>AAAA####</w:t>
      </w:r>
      <w:r>
        <w:t>). KSA format = the 8 fields above; EG/AE/etc. define their own.</w:t>
      </w:r>
    </w:p>
    <w:p>
      <w:pPr>
        <w:pStyle w:val="ListBullet"/>
      </w:pPr>
      <w:r>
        <w:rPr>
          <w:b/>
        </w:rPr>
        <w:t>Compatibility:</w:t>
      </w:r>
      <w:r>
        <w:t xml:space="preserve"> keep </w:t>
      </w:r>
      <w:r>
        <w:rPr>
          <w:rFonts w:ascii="Consolas" w:hAnsi="Consolas"/>
          <w:sz w:val="19"/>
        </w:rPr>
        <w:t>national_address</w:t>
      </w:r>
      <w:r>
        <w:t xml:space="preserve"> free-text; </w:t>
      </w:r>
      <w:r>
        <w:rPr>
          <w:b/>
        </w:rPr>
        <w:t>derive</w:t>
      </w:r>
      <w:r>
        <w:t xml:space="preserve"> a formatted </w:t>
      </w:r>
      <w:r>
        <w:rPr>
          <w:rFonts w:ascii="Consolas" w:hAnsi="Consolas"/>
          <w:sz w:val="19"/>
        </w:rPr>
        <w:t>national_address</w:t>
      </w:r>
      <w:r>
        <w:t xml:space="preserve"> string from the structured components on write, so every existing reader (statement, print, API, search) keeps working with zero changes.</w:t>
      </w:r>
    </w:p>
    <w:p>
      <w:pPr>
        <w:pStyle w:val="Heading3"/>
      </w:pPr>
      <w:r>
        <w:t>Cross-cutting impact</w:t>
      </w:r>
    </w:p>
    <w:p>
      <w:pPr>
        <w:pStyle w:val="ListBullet"/>
      </w:pPr>
      <w:r>
        <w:rPr>
          <w:b/>
        </w:rPr>
        <w:t>Governance:</w:t>
      </w:r>
      <w:r>
        <w:t xml:space="preserve"> structured-address components inherit the </w:t>
      </w:r>
      <w:r>
        <w:rPr>
          <w:b/>
        </w:rPr>
        <w:t>National Address</w:t>
      </w:r>
      <w:r>
        <w:t xml:space="preserve"> sensitivity tier (Admin edit / non-admin request) as one governed group — reuses G6.</w:t>
      </w:r>
    </w:p>
    <w:p>
      <w:pPr>
        <w:pStyle w:val="ListBullet"/>
      </w:pPr>
      <w:r>
        <w:rPr>
          <w:b/>
        </w:rPr>
        <w:t>Audit:</w:t>
      </w:r>
      <w:r>
        <w:t xml:space="preserve"> component-level old→new diffs flow through the </w:t>
      </w:r>
      <w:r>
        <w:rPr>
          <w:b/>
        </w:rPr>
        <w:t>G5 structured envelope</w:t>
      </w:r>
      <w:r>
        <w:t xml:space="preserve"> (JSONB diff per field).</w:t>
      </w:r>
    </w:p>
    <w:p>
      <w:pPr>
        <w:pStyle w:val="ListBullet"/>
      </w:pPr>
      <w:r>
        <w:rPr>
          <w:b/>
        </w:rPr>
        <w:t>Import/Export:</w:t>
      </w:r>
      <w:r>
        <w:t xml:space="preserve"> extend the customer CSV/Excel mapping with per-country structured columns + country-specific templates; export emits both structured + derived free-text.</w:t>
      </w:r>
    </w:p>
    <w:p>
      <w:pPr>
        <w:pStyle w:val="ListBullet"/>
      </w:pPr>
      <w:r>
        <w:rPr>
          <w:b/>
        </w:rPr>
        <w:t>API:</w:t>
      </w:r>
      <w:r>
        <w:t xml:space="preserve"> integrations read/write both — accept structured </w:t>
      </w:r>
      <w:r>
        <w:rPr>
          <w:b/>
        </w:rPr>
        <w:t>or</w:t>
      </w:r>
      <w:r>
        <w:t xml:space="preserve"> free-text; always return the derived free-text for compat; structured optional.</w:t>
      </w:r>
    </w:p>
    <w:p>
      <w:pPr>
        <w:pStyle w:val="ListBullet"/>
      </w:pPr>
      <w:r>
        <w:rPr>
          <w:b/>
        </w:rPr>
        <w:t>Multi-country:</w:t>
      </w:r>
      <w:r>
        <w:t xml:space="preserve"> format/labels/validation resolve per customer </w:t>
      </w:r>
      <w:r>
        <w:rPr>
          <w:rFonts w:ascii="Consolas" w:hAnsi="Consolas"/>
          <w:sz w:val="19"/>
        </w:rPr>
        <w:t>country_code</w:t>
      </w:r>
      <w:r>
        <w:t>; company may operate across countries; KSA-specific concepts (Short Address) simply absent from other formats.</w:t>
      </w:r>
    </w:p>
    <w:p>
      <w:pPr>
        <w:pStyle w:val="Heading3"/>
      </w:pPr>
      <w:r>
        <w:t>Migration strategy (phased; only after G1–G7 and explicit approval)</w:t>
      </w:r>
    </w:p>
    <w:p>
      <w:pPr>
        <w:pStyle w:val="ListNumber"/>
      </w:pPr>
      <w:r>
        <w:rPr>
          <w:b/>
        </w:rPr>
        <w:t>Design</w:t>
      </w:r>
      <w:r>
        <w:t xml:space="preserve"> (this section) — model + format registry. *No schema.*</w:t>
      </w:r>
    </w:p>
    <w:p>
      <w:pPr>
        <w:pStyle w:val="ListNumber"/>
      </w:pPr>
      <w:r>
        <w:rPr>
          <w:b/>
        </w:rPr>
        <w:t>Additive schema</w:t>
      </w:r>
      <w:r>
        <w:t xml:space="preserve"> — add </w:t>
      </w:r>
      <w:r>
        <w:rPr>
          <w:rFonts w:ascii="Consolas" w:hAnsi="Consolas"/>
          <w:sz w:val="19"/>
        </w:rPr>
        <w:t>structured_address</w:t>
      </w:r>
      <w:r>
        <w:t xml:space="preserve"> JSONB (+ </w:t>
      </w:r>
      <w:r>
        <w:rPr>
          <w:rFonts w:ascii="Consolas" w:hAnsi="Consolas"/>
          <w:sz w:val="19"/>
        </w:rPr>
        <w:t>country_code</w:t>
      </w:r>
      <w:r>
        <w:t>), nullable, no backfill.</w:t>
      </w:r>
    </w:p>
    <w:p>
      <w:pPr>
        <w:pStyle w:val="ListNumber"/>
      </w:pPr>
      <w:r>
        <w:rPr>
          <w:b/>
        </w:rPr>
        <w:t>Form + governance + display</w:t>
      </w:r>
      <w:r>
        <w:t xml:space="preserve"> — render country-format fields; write structured </w:t>
      </w:r>
      <w:r>
        <w:rPr>
          <w:b/>
        </w:rPr>
        <w:t>and</w:t>
      </w:r>
      <w:r>
        <w:t xml:space="preserve"> derived free-text; governance/audit via G5/G6.</w:t>
      </w:r>
    </w:p>
    <w:p>
      <w:pPr>
        <w:pStyle w:val="ListNumber"/>
      </w:pPr>
      <w:r>
        <w:rPr>
          <w:b/>
        </w:rPr>
        <w:t>Import/Export + API</w:t>
      </w:r>
      <w:r>
        <w:t xml:space="preserve"> — mappings, templates, dual read/write.</w:t>
      </w:r>
    </w:p>
    <w:p>
      <w:pPr>
        <w:pStyle w:val="ListNumber"/>
      </w:pPr>
      <w:r>
        <w:rPr>
          <w:b/>
        </w:rPr>
        <w:t>Optional best-effort backfill</w:t>
      </w:r>
      <w:r>
        <w:t xml:space="preserve"> — non-destructive parse of existing free-text into components (low priority).</w:t>
      </w:r>
    </w:p>
    <w:p>
      <w:pPr>
        <w:pStyle w:val="Heading3"/>
      </w:pPr>
      <w:r>
        <w:t>Rollout</w:t>
      </w:r>
    </w:p>
    <w:p>
      <w:r>
        <w:rPr>
          <w:b/>
        </w:rPr>
        <w:t>Opt-in per company</w:t>
      </w:r>
      <w:r>
        <w:t xml:space="preserve"> (enable structured address + set country); free-text remains the default; </w:t>
      </w:r>
      <w:r>
        <w:rPr>
          <w:b/>
        </w:rPr>
        <w:t>no forced migration</w:t>
      </w:r>
      <w:r>
        <w:t xml:space="preserve"> of existing customer data.</w:t>
      </w:r>
    </w:p>
    <w:p>
      <w:pPr>
        <w:pStyle w:val="Heading3"/>
      </w:pPr>
      <w:r>
        <w:t>Complexity estimate (JSONB approach)</w:t>
      </w:r>
    </w:p>
    <w:p>
      <w:r>
        <w:t xml:space="preserve">Schema (S) · format registry (M) · form rendering (M) · governance/audit reuse (S) · import/export (M) · API (S–M) ≈ </w:t>
      </w:r>
      <w:r>
        <w:rPr>
          <w:b/>
        </w:rPr>
        <w:t>4–6 dev-days</w:t>
      </w:r>
      <w:r>
        <w:t xml:space="preserve"> as a dedicated phase </w:t>
      </w:r>
      <w:r>
        <w:rPr>
          <w:b/>
        </w:rPr>
        <w:t>after</w:t>
      </w:r>
      <w:r>
        <w:t xml:space="preserve"> G1–G7. The separate-table (multi-address) variant adds ~2–3 days and is deferred unless multi-address is required.</w:t>
      </w:r>
    </w:p>
    <w:p>
      <w:pPr>
        <w:pStyle w:val="Heading2"/>
      </w:pPr>
      <w:r>
        <w:rPr>
          <w:color w:val="1F497D"/>
        </w:rPr>
        <w:t>Suggested sequence</w:t>
      </w:r>
    </w:p>
    <w:p>
      <w:r>
        <w:t xml:space="preserve">G1 → G2 → G3 (display/value, low risk) → G4 → </w:t>
      </w:r>
      <w:r>
        <w:rPr>
          <w:b/>
        </w:rPr>
        <w:t>G5 → G6 → G7</w:t>
      </w:r>
      <w:r>
        <w:t xml:space="preserve"> (governance core) → </w:t>
      </w:r>
      <w:r>
        <w:rPr>
          <w:b/>
        </w:rPr>
        <w:t>G8 design review → (separate approval) G8 build</w:t>
      </w:r>
      <w:r>
        <w:t>. One validated commit per phase; report before each next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