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FR-6 Completion Review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FR-6 Completion Review — Annual &amp; Custom Cadence</w:t>
      </w:r>
    </w:p>
    <w:p>
      <w:r>
        <w:rPr>
          <w:b/>
        </w:rPr>
        <w:t>Workstream:</w:t>
      </w:r>
      <w:r>
        <w:t xml:space="preserve"> Visit-Frequency Resolution Layer → FR-6 (final phase)</w:t>
      </w:r>
    </w:p>
    <w:p>
      <w:r>
        <w:rPr>
          <w:b/>
        </w:rPr>
        <w:t>Branch / PR:</w:t>
      </w:r>
      <w:r>
        <w:t xml:space="preserve"> </w:t>
      </w:r>
      <w:r>
        <w:rPr>
          <w:rFonts w:ascii="Consolas" w:hAnsi="Consolas"/>
          <w:sz w:val="19"/>
        </w:rPr>
        <w:t>claude/pilot-ux</w:t>
      </w:r>
      <w:r>
        <w:t xml:space="preserve"> · commit </w:t>
      </w:r>
      <w:r>
        <w:rPr>
          <w:rFonts w:ascii="Consolas" w:hAnsi="Consolas"/>
          <w:sz w:val="19"/>
        </w:rPr>
        <w:t>6d85714</w:t>
      </w:r>
    </w:p>
    <w:p>
      <w:r>
        <w:rPr>
          <w:b/>
        </w:rPr>
        <w:t>Status:</w:t>
      </w:r>
      <w:r>
        <w:t xml:space="preserve"> Complete · validated · pushed — </w:t>
      </w:r>
      <w:r>
        <w:rPr>
          <w:b/>
        </w:rPr>
        <w:t>Frequency Resolution workstream CLOSED</w:t>
      </w:r>
    </w:p>
    <w:p>
      <w:r>
        <w:rPr>
          <w:b/>
        </w:rPr>
        <w:t>Date:</w:t>
      </w:r>
      <w:r>
        <w:t xml:space="preserve"> 2026-06-19</w:t>
      </w:r>
    </w:p>
    <w:p>
      <w:pPr>
        <w:pStyle w:val="Heading2"/>
      </w:pPr>
      <w:r>
        <w:rPr>
          <w:color w:val="1F497D"/>
        </w:rPr>
        <w:t>1. Supported Cadence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Cadence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Canonical token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Week interval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Weekly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weekly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enum + token</w:t>
            </w:r>
          </w:p>
        </w:tc>
      </w:tr>
      <w:tr>
        <w:tc>
          <w:tcPr>
            <w:tcW w:type="dxa" w:w="2160"/>
          </w:tcPr>
          <w:p>
            <w:r>
              <w:t>Multi-weekly (e.g. A-grade 3×)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week/1/3</w:t>
            </w:r>
          </w:p>
        </w:tc>
        <w:tc>
          <w:tcPr>
            <w:tcW w:type="dxa" w:w="2160"/>
          </w:tcPr>
          <w:p>
            <w:r>
              <w:t>1 (spread across 3 days)</w:t>
            </w:r>
          </w:p>
        </w:tc>
        <w:tc>
          <w:tcPr>
            <w:tcW w:type="dxa" w:w="2160"/>
          </w:tcPr>
          <w:p>
            <w:r>
              <w:t>classification / customer</w:t>
            </w:r>
          </w:p>
        </w:tc>
      </w:tr>
      <w:tr>
        <w:tc>
          <w:tcPr>
            <w:tcW w:type="dxa" w:w="2160"/>
          </w:tcPr>
          <w:p>
            <w:r>
              <w:t>Biweekly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biweekly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enum + token</w:t>
            </w:r>
          </w:p>
        </w:tc>
      </w:tr>
      <w:tr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monthly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enum + token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Annual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annual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FR-6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Every N weeks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week/N/1</w:t>
            </w:r>
          </w:p>
        </w:tc>
        <w:tc>
          <w:tcPr>
            <w:tcW w:type="dxa" w:w="2160"/>
          </w:tcPr>
          <w:p>
            <w: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FR-6 custom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Every N months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month/N/1</w:t>
            </w:r>
          </w:p>
        </w:tc>
        <w:tc>
          <w:tcPr>
            <w:tcW w:type="dxa" w:w="2160"/>
          </w:tcPr>
          <w:p>
            <w:r>
              <w:t>N × 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FR-6 custom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Every N years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year/N/1</w:t>
            </w:r>
          </w:p>
        </w:tc>
        <w:tc>
          <w:tcPr>
            <w:tcW w:type="dxa" w:w="2160"/>
          </w:tcPr>
          <w:p>
            <w:r>
              <w:t>N × 52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FR-6 custom</w:t>
            </w:r>
          </w:p>
        </w:tc>
      </w:tr>
      <w:tr>
        <w:tc>
          <w:tcPr>
            <w:tcW w:type="dxa" w:w="2160"/>
          </w:tcPr>
          <w:p>
            <w:r>
              <w:t>Unknown</w:t>
            </w:r>
          </w:p>
        </w:tc>
        <w:tc>
          <w:tcPr>
            <w:tcW w:type="dxa" w:w="2160"/>
          </w:tcPr>
          <w:p>
            <w:r>
              <w:t>(unparseable)</w:t>
            </w:r>
          </w:p>
        </w:tc>
        <w:tc>
          <w:tcPr>
            <w:tcW w:type="dxa" w:w="2160"/>
          </w:tcPr>
          <w:p>
            <w:r>
              <w:t>— → always due</w:t>
            </w:r>
          </w:p>
        </w:tc>
        <w:tc>
          <w:tcPr>
            <w:tcW w:type="dxa" w:w="2160"/>
          </w:tcPr>
          <w:p>
            <w:r>
              <w:t>forward-compat</w:t>
            </w:r>
          </w:p>
        </w:tc>
      </w:tr>
    </w:tbl>
    <w:p/>
    <w:p>
      <w:r>
        <w:t xml:space="preserve">Cadence is expressed as a </w:t>
      </w:r>
      <w:r>
        <w:rPr>
          <w:b/>
        </w:rPr>
        <w:t>whole-week recurrence interval</w:t>
      </w:r>
      <w:r>
        <w:t xml:space="preserve"> derived from the token, so it</w:t>
      </w:r>
    </w:p>
    <w:p>
      <w:r>
        <w:t xml:space="preserve">composes with the existing </w:t>
      </w:r>
      <w:r>
        <w:rPr>
          <w:rFonts w:ascii="Consolas" w:hAnsi="Consolas"/>
          <w:sz w:val="19"/>
        </w:rPr>
        <w:t>effective_from</w:t>
      </w:r>
      <w:r>
        <w:t xml:space="preserve"> anchor. Weekly/biweekly/monthly map to the same</w:t>
      </w:r>
    </w:p>
    <w:p>
      <w:r>
        <w:t xml:space="preserve">intervals as before → </w:t>
      </w:r>
      <w:r>
        <w:rPr>
          <w:b/>
        </w:rPr>
        <w:t>fully backward-compatible</w:t>
      </w:r>
      <w:r>
        <w:t>.</w:t>
      </w:r>
    </w:p>
    <w:p>
      <w:pPr>
        <w:pStyle w:val="Heading2"/>
      </w:pPr>
      <w:r>
        <w:rPr>
          <w:color w:val="1F497D"/>
        </w:rPr>
        <w:t>2. Example Scenarios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Behaviour</w:t>
            </w:r>
          </w:p>
        </w:tc>
      </w:tr>
      <w:tr>
        <w:tc>
          <w:tcPr>
            <w:tcW w:type="dxa" w:w="2880"/>
          </w:tcPr>
          <w:p>
            <w:r>
              <w:t>Key account, 3 visits/week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week/1/3</w:t>
            </w:r>
          </w:p>
        </w:tc>
        <w:tc>
          <w:tcPr>
            <w:tcW w:type="dxa" w:w="2880"/>
          </w:tcPr>
          <w:p>
            <w:r>
              <w:t>Scheduled on 3 working days, due every week</w:t>
            </w:r>
          </w:p>
        </w:tc>
      </w:tr>
      <w:tr>
        <w:tc>
          <w:tcPr>
            <w:tcW w:type="dxa" w:w="2880"/>
          </w:tcPr>
          <w:p>
            <w:r>
              <w:t>Standard outlet, weekly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weekly</w:t>
            </w:r>
          </w:p>
        </w:tc>
        <w:tc>
          <w:tcPr>
            <w:tcW w:type="dxa" w:w="2880"/>
          </w:tcPr>
          <w:p>
            <w:r>
              <w:t>Due every matching day-of-week</w:t>
            </w:r>
          </w:p>
        </w:tc>
      </w:tr>
      <w:tr>
        <w:tc>
          <w:tcPr>
            <w:tcW w:type="dxa" w:w="2880"/>
          </w:tcPr>
          <w:p>
            <w:r>
              <w:t>Small shop, every 2 weeks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biweekly</w:t>
            </w:r>
          </w:p>
        </w:tc>
        <w:tc>
          <w:tcPr>
            <w:tcW w:type="dxa" w:w="2880"/>
          </w:tcPr>
          <w:p>
            <w:r>
              <w:t>Due on even weeks from anchor</w:t>
            </w:r>
          </w:p>
        </w:tc>
      </w:tr>
      <w:tr>
        <w:tc>
          <w:tcPr>
            <w:tcW w:type="dxa" w:w="2880"/>
          </w:tcPr>
          <w:p>
            <w:r>
              <w:t>Long-tail, monthly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monthly</w:t>
            </w:r>
          </w:p>
        </w:tc>
        <w:tc>
          <w:tcPr>
            <w:tcW w:type="dxa" w:w="2880"/>
          </w:tcPr>
          <w:p>
            <w:r>
              <w:t>Due every 4th week</w:t>
            </w:r>
          </w:p>
        </w:tc>
      </w:tr>
      <w:tr>
        <w:tc>
          <w:tcPr>
            <w:tcW w:type="dxa" w:w="2880"/>
          </w:tcPr>
          <w:p>
            <w:r>
              <w:t xml:space="preserve">Wholesale review, </w:t>
            </w:r>
            <w:r>
              <w:rPr>
                <w:b/>
              </w:rPr>
              <w:t>annual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annual</w:t>
            </w:r>
          </w:p>
        </w:tc>
        <w:tc>
          <w:tcPr>
            <w:tcW w:type="dxa" w:w="2880"/>
          </w:tcPr>
          <w:p>
            <w:r>
              <w:t>Due once every 52 weeks</w:t>
            </w:r>
          </w:p>
        </w:tc>
      </w:tr>
      <w:tr>
        <w:tc>
          <w:tcPr>
            <w:tcW w:type="dxa" w:w="2880"/>
          </w:tcPr>
          <w:p>
            <w:r>
              <w:t xml:space="preserve">Seasonal, </w:t>
            </w:r>
            <w:r>
              <w:rPr>
                <w:b/>
              </w:rPr>
              <w:t>every 2 months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month/2/1</w:t>
            </w:r>
          </w:p>
        </w:tc>
        <w:tc>
          <w:tcPr>
            <w:tcW w:type="dxa" w:w="2880"/>
          </w:tcPr>
          <w:p>
            <w:r>
              <w:t>Due every 8 weeks</w:t>
            </w:r>
          </w:p>
        </w:tc>
      </w:tr>
      <w:tr>
        <w:tc>
          <w:tcPr>
            <w:tcW w:type="dxa" w:w="2880"/>
          </w:tcPr>
          <w:p>
            <w:r>
              <w:t xml:space="preserve">Contract site, </w:t>
            </w:r>
            <w:r>
              <w:rPr>
                <w:b/>
              </w:rPr>
              <w:t>every 3 years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year/3/1</w:t>
            </w:r>
          </w:p>
        </w:tc>
        <w:tc>
          <w:tcPr>
            <w:tcW w:type="dxa" w:w="2880"/>
          </w:tcPr>
          <w:p>
            <w:r>
              <w:t>Due every 156 weeks</w:t>
            </w:r>
          </w:p>
        </w:tc>
      </w:tr>
    </w:tbl>
    <w:p/>
    <w:p>
      <w:pPr>
        <w:pStyle w:val="Heading2"/>
      </w:pPr>
      <w:r>
        <w:rPr>
          <w:color w:val="1F497D"/>
        </w:rPr>
        <w:t>3. Customer 360 Behaviour</w:t>
      </w:r>
    </w:p>
    <w:p>
      <w:pPr>
        <w:pStyle w:val="ListBullet"/>
      </w:pPr>
      <w:r>
        <w:t xml:space="preserve">The Territory/Coverage card shows the </w:t>
      </w:r>
      <w:r>
        <w:rPr>
          <w:b/>
        </w:rPr>
        <w:t>resolved frequency</w:t>
      </w:r>
      <w:r>
        <w:t xml:space="preserve"> with a friendly label and a</w:t>
      </w:r>
    </w:p>
    <w:p>
      <w:r>
        <w:rPr>
          <w:b/>
        </w:rPr>
        <w:t>source badge</w:t>
      </w:r>
      <w:r>
        <w:t xml:space="preserve"> (Manual / Import / Planning / Classification Recommendation / System).</w:t>
      </w:r>
    </w:p>
    <w:p>
      <w:pPr>
        <w:pStyle w:val="ListBullet"/>
      </w:pPr>
      <w:r>
        <w:t xml:space="preserve">FR-6 adds friendly rendering for the new cadences: </w:t>
      </w:r>
      <w:r>
        <w:rPr>
          <w:b/>
        </w:rPr>
        <w:t>"Annual"</w:t>
      </w:r>
      <w:r>
        <w:t xml:space="preserve">, </w:t>
      </w:r>
      <w:r>
        <w:rPr>
          <w:b/>
        </w:rPr>
        <w:t>"Every 2 months"</w:t>
      </w:r>
      <w:r>
        <w:t>,</w:t>
      </w:r>
    </w:p>
    <w:p>
      <w:r>
        <w:rPr>
          <w:b/>
        </w:rPr>
        <w:t>"Every 3 years"</w:t>
      </w:r>
      <w:r>
        <w:t xml:space="preserve">, </w:t>
      </w:r>
      <w:r>
        <w:rPr>
          <w:b/>
        </w:rPr>
        <w:t>"Every 2 weeks"</w:t>
      </w:r>
      <w:r>
        <w:t xml:space="preserve"> (alongside the existing "3× Weekly"). Custom tokens</w:t>
      </w:r>
    </w:p>
    <w:p>
      <w:r>
        <w:t xml:space="preserve">no longer show raw </w:t>
      </w:r>
      <w:r>
        <w:rPr>
          <w:rFonts w:ascii="Consolas" w:hAnsi="Consolas"/>
          <w:sz w:val="19"/>
        </w:rPr>
        <w:t>month/2/1</w:t>
      </w:r>
      <w:r>
        <w:t xml:space="preserve"> — they read in plain language.</w:t>
      </w:r>
    </w:p>
    <w:p>
      <w:pPr>
        <w:pStyle w:val="ListBullet"/>
      </w:pPr>
      <w:r>
        <w:t xml:space="preserve">The classification </w:t>
      </w:r>
      <w:r>
        <w:rPr>
          <w:b/>
        </w:rPr>
        <w:t>recommendation</w:t>
      </w:r>
      <w:r>
        <w:t xml:space="preserve"> still appears when it differs from the resolved value,</w:t>
      </w:r>
    </w:p>
    <w:p>
      <w:r>
        <w:t>unchanged.</w:t>
      </w:r>
    </w:p>
    <w:p>
      <w:pPr>
        <w:pStyle w:val="Heading2"/>
      </w:pPr>
      <w:r>
        <w:rPr>
          <w:color w:val="1F497D"/>
        </w:rPr>
        <w:t>4. Journey Plan Behaviour</w:t>
      </w:r>
    </w:p>
    <w:p>
      <w:pPr>
        <w:pStyle w:val="ListBullet"/>
      </w:pPr>
      <w:r>
        <w:t>Generation/apply (FR-5) resolve the customer's effective frequency; FR-6 now **persists the</w:t>
      </w:r>
    </w:p>
    <w:p>
      <w:r>
        <w:t>canonical token** (</w:t>
      </w:r>
      <w:r>
        <w:rPr>
          <w:rFonts w:ascii="Consolas" w:hAnsi="Consolas"/>
          <w:sz w:val="19"/>
        </w:rPr>
        <w:t>erp_journey_plans.frequency_token</w:t>
      </w:r>
      <w:r>
        <w:t>) alongside the legacy enum.</w:t>
      </w:r>
    </w:p>
    <w:p>
      <w:pPr>
        <w:pStyle w:val="ListBullet"/>
      </w:pPr>
      <w:r>
        <w:t xml:space="preserve">The salesman's </w:t>
      </w:r>
      <w:r>
        <w:rPr>
          <w:b/>
        </w:rPr>
        <w:t>Today's Journey</w:t>
      </w:r>
      <w:r>
        <w:t xml:space="preserve"> (</w:t>
      </w:r>
      <w:r>
        <w:rPr>
          <w:rFonts w:ascii="Consolas" w:hAnsi="Consolas"/>
          <w:sz w:val="19"/>
        </w:rPr>
        <w:t>erp_today_journey</w:t>
      </w:r>
      <w:r>
        <w:t>) honours the token: an annual outlet</w:t>
      </w:r>
    </w:p>
    <w:p>
      <w:r>
        <w:t>appears on its due week only, an every-2-months outlet every 8 weeks, etc. When the token is</w:t>
      </w:r>
    </w:p>
    <w:p>
      <w:r>
        <w:t xml:space="preserve">null (legacy rows), the enum drives cadence exactly as before — </w:t>
      </w:r>
      <w:r>
        <w:rPr>
          <w:b/>
        </w:rPr>
        <w:t>no behaviour change</w:t>
      </w:r>
      <w:r>
        <w:t>.</w:t>
      </w:r>
    </w:p>
    <w:p>
      <w:pPr>
        <w:pStyle w:val="ListBullet"/>
      </w:pPr>
      <w:r>
        <w:t>Simple Mode preserved: the generator still runs from *route + working days*; Annual is a</w:t>
      </w:r>
    </w:p>
    <w:p>
      <w:r>
        <w:t xml:space="preserve">one-click option in the customer form; arbitrary custom cadences arrive via </w:t>
      </w:r>
      <w:r>
        <w:rPr>
          <w:b/>
        </w:rPr>
        <w:t>import</w:t>
      </w:r>
      <w:r>
        <w:t xml:space="preserve"> (or a</w:t>
      </w:r>
    </w:p>
    <w:p>
      <w:r>
        <w:t>future advanced control) and are never required.</w:t>
      </w:r>
    </w:p>
    <w:p>
      <w:pPr>
        <w:pStyle w:val="Heading2"/>
      </w:pPr>
      <w:r>
        <w:rPr>
          <w:color w:val="1F497D"/>
        </w:rPr>
        <w:t>5. Coverage Impact (CJ-3)</w:t>
      </w:r>
    </w:p>
    <w:p>
      <w:pPr>
        <w:pStyle w:val="ListBullet"/>
      </w:pPr>
      <w:r>
        <w:t xml:space="preserve">Coverage status reuses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sz w:val="19"/>
        </w:rPr>
        <w:t>isVisitDueOn</w:t>
      </w:r>
      <w:r>
        <w:t xml:space="preserve"> cadence engine, now token-aware. The</w:t>
      </w:r>
    </w:p>
    <w:p>
      <w:r>
        <w:t xml:space="preserve">coverage loader passes </w:t>
      </w:r>
      <w:r>
        <w:rPr>
          <w:rFonts w:ascii="Consolas" w:hAnsi="Consolas"/>
          <w:sz w:val="19"/>
        </w:rPr>
        <w:t>frequency_token</w:t>
      </w:r>
      <w:r>
        <w:t xml:space="preserve"> through, so </w:t>
      </w:r>
      <w:r>
        <w:rPr>
          <w:b/>
        </w:rPr>
        <w:t>expected visits</w:t>
      </w:r>
      <w:r>
        <w:t xml:space="preserve"> in the 28-day window</w:t>
      </w:r>
    </w:p>
    <w:p>
      <w:r>
        <w:t>are computed correctly for annual/custom cadences:</w:t>
      </w:r>
    </w:p>
    <w:p>
      <w:pPr>
        <w:pStyle w:val="ListBullet"/>
      </w:pPr>
      <w:r>
        <w:t xml:space="preserve">an </w:t>
      </w:r>
      <w:r>
        <w:rPr>
          <w:b/>
        </w:rPr>
        <w:t>annual</w:t>
      </w:r>
      <w:r>
        <w:t xml:space="preserve"> outlet expects ~0 visits in a 28-day window → it is </w:t>
      </w:r>
      <w:r>
        <w:rPr>
          <w:b/>
        </w:rPr>
        <w:t>not</w:t>
      </w:r>
      <w:r>
        <w:t xml:space="preserve"> flagged</w:t>
      </w:r>
    </w:p>
    <w:p>
      <w:r>
        <w:t>under-covered for being unvisited that month (correct — it isn't due);</w:t>
      </w:r>
    </w:p>
    <w:p>
      <w:pPr>
        <w:pStyle w:val="ListBullet"/>
      </w:pPr>
      <w:r>
        <w:t xml:space="preserve">an </w:t>
      </w:r>
      <w:r>
        <w:rPr>
          <w:b/>
        </w:rPr>
        <w:t>every-2-months</w:t>
      </w:r>
      <w:r>
        <w:t xml:space="preserve"> outlet expects ~0–1 and is judged against that, not a weekly baseline.</w:t>
      </w:r>
    </w:p>
    <w:p>
      <w:pPr>
        <w:pStyle w:val="ListBullet"/>
      </w:pPr>
      <w:r>
        <w:t>This removes false "under-covered" noise for low-frequency outlets — coverage now reflects</w:t>
      </w:r>
    </w:p>
    <w:p>
      <w:r>
        <w:t>the *actual* cadence obligation. On Track / Under / Over / Never bands are unchanged.</w:t>
      </w:r>
    </w:p>
    <w:p>
      <w:pPr>
        <w:pStyle w:val="Heading2"/>
      </w:pPr>
      <w:r>
        <w:rPr>
          <w:color w:val="1F497D"/>
        </w:rPr>
        <w:t>6. Completion Review</w:t>
      </w:r>
    </w:p>
    <w:p>
      <w:r>
        <w:rPr>
          <w:b/>
        </w:rPr>
        <w:t>Implementation</w:t>
      </w:r>
    </w:p>
    <w:p>
      <w:pPr>
        <w:pStyle w:val="ListBullet"/>
      </w:pPr>
      <w:r>
        <w:rPr>
          <w:rFonts w:ascii="Consolas" w:hAnsi="Consolas"/>
          <w:sz w:val="19"/>
        </w:rPr>
        <w:t>cadence.ts</w:t>
      </w:r>
      <w:r>
        <w:t xml:space="preserve"> — </w:t>
      </w:r>
      <w:r>
        <w:rPr>
          <w:rFonts w:ascii="Consolas" w:hAnsi="Consolas"/>
          <w:sz w:val="19"/>
        </w:rPr>
        <w:t>weekIntervalFor</w:t>
      </w:r>
      <w:r>
        <w:t xml:space="preserve"> (token → interval via </w:t>
      </w:r>
      <w:r>
        <w:rPr>
          <w:rFonts w:ascii="Consolas" w:hAnsi="Consolas"/>
          <w:sz w:val="19"/>
        </w:rPr>
        <w:t>parseFrequency</w:t>
      </w:r>
      <w:r>
        <w:t xml:space="preserve">); </w:t>
      </w:r>
      <w:r>
        <w:rPr>
          <w:rFonts w:ascii="Consolas" w:hAnsi="Consolas"/>
          <w:sz w:val="19"/>
        </w:rPr>
        <w:t>isVisitDueOn</w:t>
      </w:r>
    </w:p>
    <w:p>
      <w:r>
        <w:t>token-aware with enum fallback and always-due unknowns. Pure.</w:t>
      </w:r>
    </w:p>
    <w:p>
      <w:pPr>
        <w:pStyle w:val="ListBullet"/>
      </w:pPr>
      <w:r>
        <w:t xml:space="preserve">Migration </w:t>
      </w:r>
      <w:r>
        <w:rPr>
          <w:rFonts w:ascii="Consolas" w:hAnsi="Consolas"/>
          <w:sz w:val="19"/>
        </w:rPr>
        <w:t>0351</w:t>
      </w:r>
      <w:r>
        <w:t xml:space="preserve"> — additive </w:t>
      </w:r>
      <w:r>
        <w:rPr>
          <w:rFonts w:ascii="Consolas" w:hAnsi="Consolas"/>
          <w:sz w:val="19"/>
        </w:rPr>
        <w:t>frequency_token</w:t>
      </w:r>
      <w:r>
        <w:t xml:space="preserve">; </w:t>
      </w:r>
      <w:r>
        <w:rPr>
          <w:rFonts w:ascii="Consolas" w:hAnsi="Consolas"/>
          <w:sz w:val="19"/>
        </w:rPr>
        <w:t>erp_freq_week_interval</w:t>
      </w:r>
      <w:r>
        <w:t xml:space="preserve"> SQL helper mirroring</w:t>
      </w:r>
    </w:p>
    <w:p>
      <w:r>
        <w:t xml:space="preserve">the TS; </w:t>
      </w:r>
      <w:r>
        <w:rPr>
          <w:rFonts w:ascii="Consolas" w:hAnsi="Consolas"/>
          <w:sz w:val="19"/>
        </w:rPr>
        <w:t>erp_today_journey</w:t>
      </w:r>
      <w:r>
        <w:t xml:space="preserve"> honours the token. No backfill, no RLS change.</w:t>
      </w:r>
    </w:p>
    <w:p>
      <w:pPr>
        <w:pStyle w:val="ListBullet"/>
      </w:pPr>
      <w:r>
        <w:rPr>
          <w:rFonts w:ascii="Consolas" w:hAnsi="Consolas"/>
          <w:sz w:val="19"/>
        </w:rPr>
        <w:t>applyJourneyProposal</w:t>
      </w:r>
      <w:r>
        <w:t xml:space="preserve"> — persists </w:t>
      </w:r>
      <w:r>
        <w:rPr>
          <w:rFonts w:ascii="Consolas" w:hAnsi="Consolas"/>
          <w:sz w:val="19"/>
        </w:rPr>
        <w:t>frequency_token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coverage-status-server</w:t>
      </w:r>
      <w:r>
        <w:t xml:space="preserve"> — selects/passes </w:t>
      </w:r>
      <w:r>
        <w:rPr>
          <w:rFonts w:ascii="Consolas" w:hAnsi="Consolas"/>
          <w:sz w:val="19"/>
        </w:rPr>
        <w:t>frequency_token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</w:rPr>
        <w:t>frequencyLabel</w:t>
      </w:r>
      <w:r>
        <w:t xml:space="preserve"> + i18n — friendly annual/custom labels (symmetric ar/en).</w:t>
      </w:r>
    </w:p>
    <w:p>
      <w:r>
        <w:rPr>
          <w:b/>
        </w:rPr>
        <w:t>Validation:</w:t>
      </w:r>
      <w:r>
        <w:t xml:space="preserve"> </w:t>
      </w:r>
      <w:r>
        <w:rPr>
          <w:rFonts w:ascii="Consolas" w:hAnsi="Consolas"/>
          <w:sz w:val="19"/>
        </w:rPr>
        <w:t>tsc</w:t>
      </w:r>
      <w:r>
        <w:t xml:space="preserve"> clean · </w:t>
      </w:r>
      <w:r>
        <w:rPr>
          <w:b/>
        </w:rPr>
        <w:t>1685 tests pass</w:t>
      </w:r>
      <w:r>
        <w:t xml:space="preserve"> (+4, 0 regressions) · </w:t>
      </w:r>
      <w:r>
        <w:rPr>
          <w:rFonts w:ascii="Consolas" w:hAnsi="Consolas"/>
          <w:sz w:val="19"/>
        </w:rPr>
        <w:t>next build</w:t>
      </w:r>
      <w:r>
        <w:t xml:space="preserve"> compiled</w:t>
      </w:r>
    </w:p>
    <w:p>
      <w:r>
        <w:t>(</w:t>
      </w:r>
      <w:r>
        <w:rPr>
          <w:rFonts w:ascii="Consolas" w:hAnsi="Consolas"/>
          <w:sz w:val="19"/>
        </w:rPr>
        <w:t>/distribution/journey-plan</w:t>
      </w:r>
      <w:r>
        <w:t xml:space="preserve">, </w:t>
      </w:r>
      <w:r>
        <w:rPr>
          <w:rFonts w:ascii="Consolas" w:hAnsi="Consolas"/>
          <w:sz w:val="19"/>
        </w:rPr>
        <w:t>/distribution/coverage-customers</w:t>
      </w:r>
      <w:r>
        <w:t xml:space="preserve"> built).</w:t>
      </w:r>
    </w:p>
    <w:p>
      <w:r>
        <w:rPr>
          <w:b/>
        </w:rPr>
        <w:t>Authority model across surfaces:</w:t>
      </w:r>
      <w:r>
        <w:t xml:space="preserve"> the single resolver + token now spans **Customer 360 ·</w:t>
      </w:r>
    </w:p>
    <w:p>
      <w:r>
        <w:t>Journey Planning · Coverage · Route Optimization · (future) Territory Intelligence Studio** —</w:t>
      </w:r>
    </w:p>
    <w:p>
      <w:r>
        <w:t>one source of truth for "how often," from weekly through fully custom cadences.</w:t>
      </w:r>
    </w:p>
    <w:p>
      <w:r>
        <w:rPr>
          <w:b/>
        </w:rPr>
        <w:t>Backward compatibility:</w:t>
      </w:r>
      <w:r>
        <w:t xml:space="preserve"> every existing plan row (token null) and every tenant without</w:t>
      </w:r>
    </w:p>
    <w:p>
      <w:r>
        <w:t>customer-level frequencies behaves exactly as before.</w:t>
      </w:r>
    </w:p>
    <w:p>
      <w:pPr>
        <w:pStyle w:val="Heading3"/>
      </w:pPr>
      <w:r>
        <w:t>FR Workstream — CLOSED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FR-1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FR-2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FR-3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FR-4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FR-5</w:t>
            </w:r>
          </w:p>
        </w:tc>
        <w:tc>
          <w:tcPr>
            <w:tcW w:type="dxa" w:w="1440"/>
            <w:shd w:val="clear" w:fill="1F497D"/>
          </w:tcPr>
          <w:p>
            <w:r>
              <w:rPr>
                <w:b/>
                <w:color w:val="FFFFFF"/>
              </w:rPr>
              <w:t>FR-6</w:t>
            </w:r>
          </w:p>
        </w:tc>
      </w:tr>
      <w:tr>
        <w:tc>
          <w:tcPr>
            <w:tcW w:type="dxa" w:w="1440"/>
          </w:tcPr>
          <w:p>
            <w:r>
              <w:t>resolver + model</w:t>
            </w:r>
          </w:p>
        </w:tc>
        <w:tc>
          <w:tcPr>
            <w:tcW w:type="dxa" w:w="1440"/>
          </w:tcPr>
          <w:p>
            <w:r>
              <w:t>storage + source</w:t>
            </w:r>
          </w:p>
        </w:tc>
        <w:tc>
          <w:tcPr>
            <w:tcW w:type="dxa" w:w="1440"/>
          </w:tcPr>
          <w:p>
            <w:r>
              <w:t>manual entry + display</w:t>
            </w:r>
          </w:p>
        </w:tc>
        <w:tc>
          <w:tcPr>
            <w:tcW w:type="dxa" w:w="1440"/>
          </w:tcPr>
          <w:p>
            <w:r>
              <w:t>Excel import</w:t>
            </w:r>
          </w:p>
        </w:tc>
        <w:tc>
          <w:tcPr>
            <w:tcW w:type="dxa" w:w="1440"/>
          </w:tcPr>
          <w:p>
            <w:r>
              <w:t>generation/apply</w:t>
            </w:r>
          </w:p>
        </w:tc>
        <w:tc>
          <w:tcPr>
            <w:tcW w:type="dxa" w:w="1440"/>
          </w:tcPr>
          <w:p>
            <w:r>
              <w:t>annual/custom</w:t>
            </w:r>
          </w:p>
        </w:tc>
      </w:tr>
      <w:tr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  <w:tc>
          <w:tcPr>
            <w:tcW w:type="dxa" w:w="1440"/>
          </w:tcPr>
          <w:p>
            <w:r>
              <w:t>✅</w:t>
            </w:r>
          </w:p>
        </w:tc>
      </w:tr>
    </w:tbl>
    <w:p/>
    <w:p>
      <w:r>
        <w:rPr>
          <w:b/>
        </w:rPr>
        <w:t>Next per approved priority:</w:t>
      </w:r>
      <w:r>
        <w:t xml:space="preserve"> Coverage Status / Coverage Engine, then TIS shared</w:t>
      </w:r>
    </w:p>
    <w:p>
      <w:r>
        <w:t>dataset/scenario foundations — with Simple Mode mandatory throughout.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