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/>
    <w:p>
      <w:pPr>
        <w:jc w:val="center"/>
      </w:pPr>
      <w:r>
        <w:rPr>
          <w:b/>
          <w:color w:val="1F497D"/>
          <w:sz w:val="52"/>
        </w:rPr>
        <w:t>Final Platform Navigation &amp; UX Review Package</w:t>
      </w:r>
    </w:p>
    <w:p>
      <w:pPr>
        <w:jc w:val="center"/>
      </w:pPr>
      <w:r>
        <w:rPr>
          <w:i/>
          <w:sz w:val="26"/>
        </w:rPr>
        <w:t>FMCG Van-Sales · Pilot, Reference Tenant &amp; Certification Package</w:t>
      </w:r>
    </w:p>
    <w:p>
      <w:pPr>
        <w:jc w:val="center"/>
      </w:pPr>
      <w:r>
        <w:rPr>
          <w:sz w:val="22"/>
        </w:rPr>
        <w:t>Generated 2026-06-10 · PR #311</w:t>
      </w:r>
    </w:p>
    <w:p>
      <w:r>
        <w:br w:type="page"/>
      </w:r>
    </w:p>
    <w:p>
      <w:pPr>
        <w:pStyle w:val="Heading1"/>
      </w:pPr>
      <w:r>
        <w:rPr>
          <w:color w:val="1F497D"/>
        </w:rPr>
        <w:t>Final Platform Navigation &amp; UX Review Package</w:t>
      </w:r>
    </w:p>
    <w:p>
      <w:pPr>
        <w:pStyle w:val="Heading3"/>
      </w:pPr>
      <w:r>
        <w:t>Consolidation checkpoint before the next phase</w:t>
      </w:r>
    </w:p>
    <w:p>
      <w:r>
        <w:rPr>
          <w:b/>
        </w:rPr>
        <w:t>Branch:</w:t>
      </w:r>
      <w:r>
        <w:t xml:space="preserve"> </w:t>
      </w:r>
      <w:r>
        <w:rPr>
          <w:rFonts w:ascii="Consolas" w:hAnsi="Consolas"/>
          <w:sz w:val="19"/>
        </w:rPr>
        <w:t>claude/pilot-ux</w:t>
      </w:r>
      <w:r>
        <w:t xml:space="preserve"> · </w:t>
      </w:r>
      <w:r>
        <w:rPr>
          <w:b/>
        </w:rPr>
        <w:t>PR:</w:t>
      </w:r>
      <w:r>
        <w:t xml:space="preserve"> #319 · </w:t>
      </w:r>
      <w:r>
        <w:rPr>
          <w:b/>
        </w:rPr>
        <w:t>Code @</w:t>
      </w:r>
      <w:r>
        <w:t xml:space="preserve"> </w:t>
      </w:r>
      <w:r>
        <w:rPr>
          <w:rFonts w:ascii="Consolas" w:hAnsi="Consolas"/>
          <w:sz w:val="19"/>
        </w:rPr>
        <w:t>4e57585</w:t>
      </w:r>
      <w:r>
        <w:t xml:space="preserve"> · </w:t>
      </w:r>
      <w:r>
        <w:rPr>
          <w:b/>
        </w:rPr>
        <w:t>Date:</w:t>
      </w:r>
      <w:r>
        <w:t xml:space="preserve"> 2026-06-18 · </w:t>
      </w:r>
      <w:r>
        <w:rPr>
          <w:b/>
        </w:rPr>
        <w:t>Status:</w:t>
      </w:r>
      <w:r>
        <w:t xml:space="preserve"> Review only — *no implementation.*</w:t>
      </w:r>
    </w:p>
    <w:p>
      <w:r>
        <w:t>Captures the state after the shipped work — Settings single-source (M1+M2), label cleanup (P1), CRM umbrella (P2), container rule (P3), Sales/Distribution grouping (P4) — and sets the order for the remaining items. Constraints throughout: no business-logic, permission, RLS, or workflow change; no new features.</w:t>
      </w:r>
    </w:p>
    <w:p>
      <w:pPr>
        <w:pStyle w:val="Heading2"/>
      </w:pPr>
      <w:r>
        <w:rPr>
          <w:color w:val="1F497D"/>
        </w:rPr>
        <w:t>1. Before / After (capture points)</w:t>
      </w:r>
    </w:p>
    <w:p>
      <w:r>
        <w:t xml:space="preserve">Authenticated screenshots can't be captured from the build sandbox; below are the </w:t>
      </w:r>
      <w:r>
        <w:rPr>
          <w:b/>
        </w:rPr>
        <w:t>exact before/after shots</w:t>
      </w:r>
      <w:r>
        <w:t xml:space="preserve"> to take on the live preview (</w:t>
      </w:r>
      <w:r>
        <w:rPr>
          <w:rFonts w:ascii="Consolas" w:hAnsi="Consolas"/>
          <w:sz w:val="19"/>
        </w:rPr>
        <w:t>kako</w:t>
      </w:r>
      <w:r>
        <w:t xml:space="preserve">, </w:t>
      </w:r>
      <w:r>
        <w:rPr>
          <w:rFonts w:ascii="Consolas" w:hAnsi="Consolas"/>
          <w:sz w:val="19"/>
        </w:rPr>
        <w:t>4e57585</w:t>
      </w:r>
      <w:r>
        <w:t>). Toggle EN/AR for RTL.</w:t>
      </w:r>
    </w:p>
    <w:p>
      <w:pPr>
        <w:pStyle w:val="Heading3"/>
      </w:pPr>
      <w:r>
        <w:t>CRM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  <w:shd w:val="clear" w:fill="1F497D"/>
          </w:tcPr>
          <w:p>
            <w:r>
              <w:rPr>
                <w:b/>
                <w:color w:val="FFFFFF"/>
              </w:rPr>
              <w:t>Before</w:t>
            </w:r>
          </w:p>
        </w:tc>
        <w:tc>
          <w:tcPr>
            <w:tcW w:type="dxa" w:w="4320"/>
            <w:shd w:val="clear" w:fill="1F497D"/>
          </w:tcPr>
          <w:p>
            <w:r>
              <w:rPr>
                <w:b/>
                <w:color w:val="FFFFFF"/>
              </w:rPr>
              <w:t>After</w:t>
            </w:r>
          </w:p>
        </w:tc>
      </w:tr>
      <w:tr>
        <w:tc>
          <w:tcPr>
            <w:tcW w:type="dxa" w:w="4320"/>
          </w:tcPr>
          <w:p>
            <w:r>
              <w:t xml:space="preserve">No CRM section; Customers under </w:t>
            </w:r>
            <w:r>
              <w:rPr>
                <w:b/>
              </w:rPr>
              <w:t>Sales</w:t>
            </w:r>
            <w:r>
              <w:t xml:space="preserve">; Credit Requests / Visit Outcomes under </w:t>
            </w:r>
            <w:r>
              <w:rPr>
                <w:b/>
              </w:rPr>
              <w:t>Distribution</w:t>
            </w:r>
            <w:r>
              <w:t>; Customer Requests buried in Field</w:t>
            </w:r>
          </w:p>
        </w:tc>
        <w:tc>
          <w:tcPr>
            <w:tcW w:type="dxa" w:w="4320"/>
          </w:tcPr>
          <w:p>
            <w:r>
              <w:t xml:space="preserve">A dedicated </w:t>
            </w:r>
            <w:r>
              <w:rPr>
                <w:b/>
              </w:rPr>
              <w:t>CRM</w:t>
            </w:r>
            <w:r>
              <w:t xml:space="preserve"> section (canonical entry): Customers · Customer Transfer · Customer Requests · Credit Requests · Visit Outcomes</w:t>
            </w:r>
          </w:p>
        </w:tc>
      </w:tr>
    </w:tbl>
    <w:p/>
    <w:p>
      <w:r>
        <w:t>*Shot:* sidebar of an FMCG/distribution tenant — CRM section present above Sales.</w:t>
      </w:r>
    </w:p>
    <w:p>
      <w:pPr>
        <w:pStyle w:val="Heading3"/>
      </w:pPr>
      <w:r>
        <w:t>Sales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  <w:shd w:val="clear" w:fill="1F497D"/>
          </w:tcPr>
          <w:p>
            <w:r>
              <w:rPr>
                <w:b/>
                <w:color w:val="FFFFFF"/>
              </w:rPr>
              <w:t>Before</w:t>
            </w:r>
          </w:p>
        </w:tc>
        <w:tc>
          <w:tcPr>
            <w:tcW w:type="dxa" w:w="4320"/>
            <w:shd w:val="clear" w:fill="1F497D"/>
          </w:tcPr>
          <w:p>
            <w:r>
              <w:rPr>
                <w:b/>
                <w:color w:val="FFFFFF"/>
              </w:rPr>
              <w:t>After</w:t>
            </w:r>
          </w:p>
        </w:tc>
      </w:tr>
      <w:tr>
        <w:tc>
          <w:tcPr>
            <w:tcW w:type="dxa" w:w="4320"/>
          </w:tcPr>
          <w:p>
            <w:r>
              <w:t>28 flat items (incl. Customers/Transfer/Requests)</w:t>
            </w:r>
          </w:p>
        </w:tc>
        <w:tc>
          <w:tcPr>
            <w:tcW w:type="dxa" w:w="4320"/>
          </w:tcPr>
          <w:p>
            <w:r>
              <w:t xml:space="preserve">25 items in </w:t>
            </w:r>
            <w:r>
              <w:rPr>
                <w:b/>
              </w:rPr>
              <w:t>Selling · Field / Van Sales · Reports</w:t>
            </w:r>
            <w:r>
              <w:t xml:space="preserve"> sub-headers; CRM items removed</w:t>
            </w:r>
          </w:p>
        </w:tc>
      </w:tr>
    </w:tbl>
    <w:p/>
    <w:p>
      <w:r>
        <w:t>*Shot:* sidebar → Sales section showing the three sub-headers.</w:t>
      </w:r>
    </w:p>
    <w:p>
      <w:pPr>
        <w:pStyle w:val="Heading3"/>
      </w:pPr>
      <w:r>
        <w:t>Distribution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  <w:shd w:val="clear" w:fill="1F497D"/>
          </w:tcPr>
          <w:p>
            <w:r>
              <w:rPr>
                <w:b/>
                <w:color w:val="FFFFFF"/>
              </w:rPr>
              <w:t>Before</w:t>
            </w:r>
          </w:p>
        </w:tc>
        <w:tc>
          <w:tcPr>
            <w:tcW w:type="dxa" w:w="4320"/>
            <w:shd w:val="clear" w:fill="1F497D"/>
          </w:tcPr>
          <w:p>
            <w:r>
              <w:rPr>
                <w:b/>
                <w:color w:val="FFFFFF"/>
              </w:rPr>
              <w:t>After</w:t>
            </w:r>
          </w:p>
        </w:tc>
      </w:tr>
      <w:tr>
        <w:tc>
          <w:tcPr>
            <w:tcW w:type="dxa" w:w="4320"/>
          </w:tcPr>
          <w:p>
            <w:r>
              <w:t>24 flat items (incl. Credit Requests, Visit Outcomes)</w:t>
            </w:r>
          </w:p>
        </w:tc>
        <w:tc>
          <w:tcPr>
            <w:tcW w:type="dxa" w:w="4320"/>
          </w:tcPr>
          <w:p>
            <w:r>
              <w:t xml:space="preserve">22 items in </w:t>
            </w:r>
            <w:r>
              <w:rPr>
                <w:b/>
              </w:rPr>
              <w:t>Execution · Coverage &amp; Assortment · Perfect Store · Reports</w:t>
            </w:r>
            <w:r>
              <w:t>; CRM items removed</w:t>
            </w:r>
          </w:p>
        </w:tc>
      </w:tr>
    </w:tbl>
    <w:p/>
    <w:p>
      <w:r>
        <w:t>*Shot:* sidebar → Distribution showing the four sub-headers.</w:t>
      </w:r>
    </w:p>
    <w:p>
      <w:pPr>
        <w:pStyle w:val="Heading3"/>
      </w:pPr>
      <w:r>
        <w:t>Settings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  <w:shd w:val="clear" w:fill="1F497D"/>
          </w:tcPr>
          <w:p>
            <w:r>
              <w:rPr>
                <w:b/>
                <w:color w:val="FFFFFF"/>
              </w:rPr>
              <w:t>Before</w:t>
            </w:r>
          </w:p>
        </w:tc>
        <w:tc>
          <w:tcPr>
            <w:tcW w:type="dxa" w:w="4320"/>
            <w:shd w:val="clear" w:fill="1F497D"/>
          </w:tcPr>
          <w:p>
            <w:r>
              <w:rPr>
                <w:b/>
                <w:color w:val="FFFFFF"/>
              </w:rPr>
              <w:t>After</w:t>
            </w:r>
          </w:p>
        </w:tc>
      </w:tr>
      <w:tr>
        <w:tc>
          <w:tcPr>
            <w:tcW w:type="dxa" w:w="4320"/>
          </w:tcPr>
          <w:p>
            <w:r>
              <w:t xml:space="preserve">Sidebar listed ~38 settings items (6 groups) </w:t>
            </w:r>
            <w:r>
              <w:rPr>
                <w:b/>
              </w:rPr>
              <w:t>plus</w:t>
            </w:r>
            <w:r>
              <w:t xml:space="preserve"> an in-page nav — two taxonomies</w:t>
            </w:r>
          </w:p>
        </w:tc>
        <w:tc>
          <w:tcPr>
            <w:tcW w:type="dxa" w:w="4320"/>
          </w:tcPr>
          <w:p>
            <w:r>
              <w:t xml:space="preserve">Sidebar = single </w:t>
            </w:r>
            <w:r>
              <w:rPr>
                <w:b/>
              </w:rPr>
              <w:t>"Settings"</w:t>
            </w:r>
            <w:r>
              <w:t xml:space="preserve"> link; in-page </w:t>
            </w:r>
            <w:r>
              <w:rPr>
                <w:b/>
              </w:rPr>
              <w:t>Top Grouping</w:t>
            </w:r>
            <w:r>
              <w:t xml:space="preserve"> (7 canonical groups) is the only navigator</w:t>
            </w:r>
          </w:p>
        </w:tc>
      </w:tr>
    </w:tbl>
    <w:p/>
    <w:p>
      <w:r>
        <w:t xml:space="preserve">*Shots:* </w:t>
      </w:r>
      <w:r>
        <w:rPr>
          <w:rFonts w:ascii="Consolas" w:hAnsi="Consolas"/>
          <w:sz w:val="19"/>
        </w:rPr>
        <w:t>…/settings</w:t>
      </w:r>
      <w:r>
        <w:t xml:space="preserve"> (single link + grouped grid); </w:t>
      </w:r>
      <w:r>
        <w:rPr>
          <w:rFonts w:ascii="Consolas" w:hAnsi="Consolas"/>
          <w:sz w:val="19"/>
        </w:rPr>
        <w:t>…/settings/approval-matrix</w:t>
      </w:r>
      <w:r>
        <w:t xml:space="preserve"> (Automation &amp; Policies active).</w:t>
      </w:r>
    </w:p>
    <w:p>
      <w:pPr>
        <w:pStyle w:val="Heading2"/>
      </w:pPr>
      <w:r>
        <w:rPr>
          <w:color w:val="1F497D"/>
        </w:rPr>
        <w:t>2. Final platform navigation map</w:t>
      </w:r>
    </w:p>
    <w:p>
      <w:pPr>
        <w:ind w:left="240"/>
      </w:pPr>
      <w:r>
        <w:rPr>
          <w:rFonts w:ascii="Consolas" w:hAnsi="Consolas"/>
          <w:sz w:val="18"/>
        </w:rPr>
        <w:t>L0  PLATFORM BAR — identity · tenant/role · search · Ctrl-K · quick-create · 🔔</w:t>
        <w:br/>
        <w:br/>
        <w:t>L1  MODULE RAIL</w:t>
        <w:br/>
        <w:t xml:space="preserve"> ├ PLATFORM (provider)   Overview · Tenants · Catalog · Billing · Team &amp; Access · Reference</w:t>
        <w:br/>
        <w:t xml:space="preserve"> ├ MAIN                  Dashboard · Today · Supervisor · Manager · Attention · Reports ·</w:t>
        <w:br/>
        <w:t xml:space="preserve"> │                       Territory · Coaching · Route · Van Stock · Approvals · Alerts · …</w:t>
        <w:br/>
        <w:t xml:space="preserve"> ├ ★ CRM                 Customers · Customer Transfer · Customer Requests · Credit Requests · Visit Outcomes</w:t>
        <w:br/>
        <w:t xml:space="preserve"> ├ SALES                 ▸Selling  ▸Field/Van Sales  ▸Reports</w:t>
        <w:br/>
        <w:t xml:space="preserve"> ├ DISTRIBUTION          ▸Execution  ▸Coverage &amp; Assortment  ▸Perfect Store  ▸Reports</w:t>
        <w:br/>
        <w:t xml:space="preserve"> ├ INVENTORY             Products · Stock · Low Stock · Transfers · Counts · Warehouses · …</w:t>
        <w:br/>
        <w:t xml:space="preserve"> ├ PURCHASING            Suppliers · Purchase Orders · Supplier Returns</w:t>
        <w:br/>
        <w:t xml:space="preserve"> ├ ACCOUNTING            Chart · Vouchers · Journal · Reports · Aging · Exports</w:t>
        <w:br/>
        <w:t xml:space="preserve"> ├ (VERTICAL PACKS)      Hotel | Clinic | Salon | Pharmacy | Fashion | Restaurant | Laundry | Market | Wholesale</w:t>
        <w:br/>
        <w:t xml:space="preserve"> └ SETTINGS  (single link) → in-page Top Grouping:</w:t>
        <w:br/>
        <w:t xml:space="preserve">        Organization · Finance &amp; Compliance · People &amp; Roles · Products &amp; Data ·</w:t>
        <w:br/>
        <w:t xml:space="preserve">        Automation &amp; Policies · Integrations · Personal</w:t>
        <w:br/>
        <w:br/>
        <w:t>L2  In-module Top Grouping (sub-headers / tabs)     L3  Content (+ record tabs)</w:t>
      </w:r>
    </w:p>
    <w:p>
      <w:r>
        <w:t>Section sizes now: Settings →1 rail link · Sales 25 (3 groups) · Distribution 22 (4 groups) · CRM 5 · Main 14 · Pharmacy 13.</w:t>
      </w:r>
    </w:p>
    <w:p>
      <w:pPr>
        <w:pStyle w:val="Heading2"/>
      </w:pPr>
      <w:r>
        <w:rPr>
          <w:color w:val="1F497D"/>
        </w:rPr>
        <w:t>3. Remaining duplication across the platform</w:t>
      </w:r>
    </w:p>
    <w:p>
      <w:r>
        <w:rPr>
          <w:b/>
        </w:rPr>
        <w:t>Per-user duplication: effectively cleared.</w:t>
      </w:r>
      <w:r>
        <w:t xml:space="preserve"> No shared label key resolves to two routes anymore (P1), and the Settings two-catalog problem is gone (M1+M2).</w:t>
      </w:r>
    </w:p>
    <w:p>
      <w:r>
        <w:t xml:space="preserve">What remains is </w:t>
      </w:r>
      <w:r>
        <w:rPr>
          <w:b/>
        </w:rPr>
        <w:t>vocabulary-level concept scatter</w:t>
      </w:r>
      <w:r>
        <w:t xml:space="preserve"> (mostly contextually gated, so a single tenant rarely sees two at once) — to be addressed by naming convention + the deferred Settings M3, not by destructive merges: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  <w:shd w:val="clear" w:fill="1F497D"/>
          </w:tcPr>
          <w:p>
            <w:r>
              <w:rPr>
                <w:b/>
                <w:color w:val="FFFFFF"/>
              </w:rPr>
              <w:t>Concept</w:t>
            </w:r>
          </w:p>
        </w:tc>
        <w:tc>
          <w:tcPr>
            <w:tcW w:type="dxa" w:w="2160"/>
            <w:shd w:val="clear" w:fill="1F497D"/>
          </w:tcPr>
          <w:p>
            <w:r>
              <w:rPr>
                <w:b/>
                <w:color w:val="FFFFFF"/>
              </w:rPr>
              <w:t>Surfaces</w:t>
            </w:r>
          </w:p>
        </w:tc>
        <w:tc>
          <w:tcPr>
            <w:tcW w:type="dxa" w:w="2160"/>
            <w:shd w:val="clear" w:fill="1F497D"/>
          </w:tcPr>
          <w:p>
            <w:r>
              <w:rPr>
                <w:b/>
                <w:color w:val="FFFFFF"/>
              </w:rPr>
              <w:t>Nature</w:t>
            </w:r>
          </w:p>
        </w:tc>
        <w:tc>
          <w:tcPr>
            <w:tcW w:type="dxa" w:w="2160"/>
            <w:shd w:val="clear" w:fill="1F497D"/>
          </w:tcPr>
          <w:p>
            <w:r>
              <w:rPr>
                <w:b/>
                <w:color w:val="FFFFFF"/>
              </w:rPr>
              <w:t>Planned by</w:t>
            </w:r>
          </w:p>
        </w:tc>
      </w:tr>
      <w:tr>
        <w:tc>
          <w:tcPr>
            <w:tcW w:type="dxa" w:w="2160"/>
          </w:tcPr>
          <w:p>
            <w:r>
              <w:rPr>
                <w:b/>
              </w:rPr>
              <w:t>Reports</w:t>
            </w:r>
          </w:p>
        </w:tc>
        <w:tc>
          <w:tcPr>
            <w:tcW w:type="dxa" w:w="2160"/>
          </w:tcPr>
          <w:p>
            <w:r>
              <w:rPr>
                <w:rFonts w:ascii="Consolas" w:hAnsi="Consolas"/>
                <w:sz w:val="19"/>
              </w:rPr>
              <w:t>/reports</w:t>
            </w:r>
            <w:r>
              <w:t xml:space="preserve"> · </w:t>
            </w:r>
            <w:r>
              <w:rPr>
                <w:rFonts w:ascii="Consolas" w:hAnsi="Consolas"/>
                <w:sz w:val="19"/>
              </w:rPr>
              <w:t>/sales/report</w:t>
            </w:r>
            <w:r>
              <w:t xml:space="preserve"> · </w:t>
            </w:r>
            <w:r>
              <w:rPr>
                <w:rFonts w:ascii="Consolas" w:hAnsi="Consolas"/>
                <w:sz w:val="19"/>
              </w:rPr>
              <w:t>/distribution/report</w:t>
            </w:r>
            <w:r>
              <w:t xml:space="preserve"> · </w:t>
            </w:r>
            <w:r>
              <w:rPr>
                <w:rFonts w:ascii="Consolas" w:hAnsi="Consolas"/>
                <w:sz w:val="19"/>
              </w:rPr>
              <w:t>/accounting/reports</w:t>
            </w:r>
            <w:r>
              <w:t xml:space="preserve"> · </w:t>
            </w:r>
            <w:r>
              <w:rPr>
                <w:rFonts w:ascii="Consolas" w:hAnsi="Consolas"/>
                <w:sz w:val="19"/>
              </w:rPr>
              <w:t>/pharmacy/reports</w:t>
            </w:r>
            <w:r>
              <w:t xml:space="preserve"> · </w:t>
            </w:r>
            <w:r>
              <w:rPr>
                <w:rFonts w:ascii="Consolas" w:hAnsi="Consolas"/>
                <w:sz w:val="19"/>
              </w:rPr>
              <w:t>/clinic/reports</w:t>
            </w:r>
            <w:r>
              <w:t xml:space="preserve"> · </w:t>
            </w:r>
            <w:r>
              <w:rPr>
                <w:rFonts w:ascii="Consolas" w:hAnsi="Consolas"/>
                <w:sz w:val="19"/>
              </w:rPr>
              <w:t>/fashion/reports</w:t>
            </w:r>
            <w:r>
              <w:t xml:space="preserve"> + several </w:t>
            </w:r>
            <w:r>
              <w:rPr>
                <w:rFonts w:ascii="Consolas" w:hAnsi="Consolas"/>
                <w:sz w:val="19"/>
              </w:rPr>
              <w:t>*summary</w:t>
            </w:r>
          </w:p>
        </w:tc>
        <w:tc>
          <w:tcPr>
            <w:tcW w:type="dxa" w:w="2160"/>
          </w:tcPr>
          <w:p>
            <w:r>
              <w:t>Per-module reports, no common naming</w:t>
            </w:r>
          </w:p>
        </w:tc>
        <w:tc>
          <w:tcPr>
            <w:tcW w:type="dxa" w:w="2160"/>
          </w:tcPr>
          <w:p>
            <w:r>
              <w:t>Naming convention "&lt;Module&gt; Reports" (P-future)</w:t>
            </w:r>
          </w:p>
        </w:tc>
      </w:tr>
      <w:tr>
        <w:tc>
          <w:tcPr>
            <w:tcW w:type="dxa" w:w="2160"/>
          </w:tcPr>
          <w:p>
            <w:r>
              <w:rPr>
                <w:b/>
              </w:rPr>
              <w:t>Returns</w:t>
            </w:r>
          </w:p>
        </w:tc>
        <w:tc>
          <w:tcPr>
            <w:tcW w:type="dxa" w:w="2160"/>
          </w:tcPr>
          <w:p>
            <w:r>
              <w:rPr>
                <w:rFonts w:ascii="Consolas" w:hAnsi="Consolas"/>
                <w:sz w:val="19"/>
              </w:rPr>
              <w:t>/sales/returns</w:t>
            </w:r>
            <w:r>
              <w:t xml:space="preserve"> · </w:t>
            </w:r>
            <w:r>
              <w:rPr>
                <w:rFonts w:ascii="Consolas" w:hAnsi="Consolas"/>
                <w:sz w:val="19"/>
              </w:rPr>
              <w:t>/field/van-sales/my-returns</w:t>
            </w:r>
            <w:r>
              <w:t xml:space="preserve"> · </w:t>
            </w:r>
            <w:r>
              <w:rPr>
                <w:rFonts w:ascii="Consolas" w:hAnsi="Consolas"/>
                <w:sz w:val="19"/>
              </w:rPr>
              <w:t>/purchases/returns</w:t>
            </w:r>
            <w:r>
              <w:t xml:space="preserve"> · </w:t>
            </w:r>
            <w:r>
              <w:rPr>
                <w:rFonts w:ascii="Consolas" w:hAnsi="Consolas"/>
                <w:sz w:val="19"/>
              </w:rPr>
              <w:t>/pharmacy/returns</w:t>
            </w:r>
            <w:r>
              <w:t xml:space="preserve"> · </w:t>
            </w:r>
            <w:r>
              <w:rPr>
                <w:rFonts w:ascii="Consolas" w:hAnsi="Consolas"/>
                <w:sz w:val="19"/>
              </w:rPr>
              <w:t>/distribution/returns-analysis</w:t>
            </w:r>
            <w:r>
              <w:t xml:space="preserve"> · settings </w:t>
            </w:r>
            <w:r>
              <w:rPr>
                <w:rFonts w:ascii="Consolas" w:hAnsi="Consolas"/>
                <w:sz w:val="19"/>
              </w:rPr>
              <w:t>returns</w:t>
            </w:r>
            <w:r>
              <w:t xml:space="preserve"> (policy)</w:t>
            </w:r>
          </w:p>
        </w:tc>
        <w:tc>
          <w:tcPr>
            <w:tcW w:type="dxa" w:w="2160"/>
          </w:tcPr>
          <w:p>
            <w:r>
              <w:t>Operational vs config; per-module</w:t>
            </w:r>
          </w:p>
        </w:tc>
        <w:tc>
          <w:tcPr>
            <w:tcW w:type="dxa" w:w="2160"/>
          </w:tcPr>
          <w:p>
            <w:r>
              <w:t>VP1 naming; config already "Return Policy"</w:t>
            </w:r>
          </w:p>
        </w:tc>
      </w:tr>
      <w:tr>
        <w:tc>
          <w:tcPr>
            <w:tcW w:type="dxa" w:w="2160"/>
          </w:tcPr>
          <w:p>
            <w:r>
              <w:rPr>
                <w:b/>
              </w:rPr>
              <w:t>Customers</w:t>
            </w:r>
          </w:p>
        </w:tc>
        <w:tc>
          <w:tcPr>
            <w:tcW w:type="dxa" w:w="2160"/>
          </w:tcPr>
          <w:p>
            <w:r>
              <w:rPr>
                <w:rFonts w:ascii="Consolas" w:hAnsi="Consolas"/>
                <w:sz w:val="19"/>
              </w:rPr>
              <w:t>/customers</w:t>
            </w:r>
            <w:r>
              <w:t xml:space="preserve"> (CRM) · </w:t>
            </w:r>
            <w:r>
              <w:rPr>
                <w:rFonts w:ascii="Consolas" w:hAnsi="Consolas"/>
                <w:sz w:val="19"/>
              </w:rPr>
              <w:t>/wholesale/customers</w:t>
            </w:r>
            <w:r>
              <w:t xml:space="preserve"> · </w:t>
            </w:r>
            <w:r>
              <w:rPr>
                <w:rFonts w:ascii="Consolas" w:hAnsi="Consolas"/>
                <w:sz w:val="19"/>
              </w:rPr>
              <w:t>/fashion/customers</w:t>
            </w:r>
            <w:r>
              <w:t xml:space="preserve"> · clinic </w:t>
            </w:r>
            <w:r>
              <w:rPr>
                <w:rFonts w:ascii="Consolas" w:hAnsi="Consolas"/>
                <w:sz w:val="19"/>
              </w:rPr>
              <w:t>patients</w:t>
            </w:r>
          </w:p>
        </w:tc>
        <w:tc>
          <w:tcPr>
            <w:tcW w:type="dxa" w:w="2160"/>
          </w:tcPr>
          <w:p>
            <w:r>
              <w:t>Vertical-specific customer views</w:t>
            </w:r>
          </w:p>
        </w:tc>
        <w:tc>
          <w:tcPr>
            <w:tcW w:type="dxa" w:w="2160"/>
          </w:tcPr>
          <w:p>
            <w:r>
              <w:t>Vertical-exclusive; leave</w:t>
            </w:r>
          </w:p>
        </w:tc>
      </w:tr>
      <w:tr>
        <w:tc>
          <w:tcPr>
            <w:tcW w:type="dxa" w:w="2160"/>
          </w:tcPr>
          <w:p>
            <w:r>
              <w:rPr>
                <w:b/>
              </w:rPr>
              <w:t>Approvals</w:t>
            </w:r>
          </w:p>
        </w:tc>
        <w:tc>
          <w:tcPr>
            <w:tcW w:type="dxa" w:w="2160"/>
          </w:tcPr>
          <w:p>
            <w:r>
              <w:rPr>
                <w:rFonts w:ascii="Consolas" w:hAnsi="Consolas"/>
                <w:sz w:val="19"/>
              </w:rPr>
              <w:t>/approvals/queue</w:t>
            </w:r>
            <w:r>
              <w:t xml:space="preserve"> (unified) · </w:t>
            </w:r>
            <w:r>
              <w:rPr>
                <w:rFonts w:ascii="Consolas" w:hAnsi="Consolas"/>
                <w:sz w:val="19"/>
              </w:rPr>
              <w:t>/field/van-sales/approvals</w:t>
            </w:r>
            <w:r>
              <w:t xml:space="preserve"> · </w:t>
            </w:r>
            <w:r>
              <w:rPr>
                <w:rFonts w:ascii="Consolas" w:hAnsi="Consolas"/>
                <w:sz w:val="19"/>
              </w:rPr>
              <w:t>/field/van-sales/day-close-approvals</w:t>
            </w:r>
            <w:r>
              <w:t xml:space="preserve"> · settings </w:t>
            </w:r>
            <w:r>
              <w:rPr>
                <w:rFonts w:ascii="Consolas" w:hAnsi="Consolas"/>
                <w:sz w:val="19"/>
              </w:rPr>
              <w:t>approval-matrix</w:t>
            </w:r>
            <w:r>
              <w:t xml:space="preserve"> (config)</w:t>
            </w:r>
          </w:p>
        </w:tc>
        <w:tc>
          <w:tcPr>
            <w:tcW w:type="dxa" w:w="2160"/>
          </w:tcPr>
          <w:p>
            <w:r>
              <w:t>Operational queue + config</w:t>
            </w:r>
          </w:p>
        </w:tc>
        <w:tc>
          <w:tcPr>
            <w:tcW w:type="dxa" w:w="2160"/>
          </w:tcPr>
          <w:p>
            <w:r>
              <w:t>Settings M3 (Workflows tabs)</w:t>
            </w:r>
          </w:p>
        </w:tc>
      </w:tr>
      <w:tr>
        <w:tc>
          <w:tcPr>
            <w:tcW w:type="dxa" w:w="2160"/>
          </w:tcPr>
          <w:p>
            <w:r>
              <w:rPr>
                <w:b/>
              </w:rPr>
              <w:t>Dashboards</w:t>
            </w:r>
          </w:p>
        </w:tc>
        <w:tc>
          <w:tcPr>
            <w:tcW w:type="dxa" w:w="2160"/>
          </w:tcPr>
          <w:p>
            <w:r>
              <w:t xml:space="preserve">generic </w:t>
            </w:r>
            <w:r>
              <w:rPr>
                <w:rFonts w:ascii="Consolas" w:hAnsi="Consolas"/>
                <w:sz w:val="19"/>
              </w:rPr>
              <w:t>/dashboard</w:t>
            </w:r>
            <w:r>
              <w:t xml:space="preserve"> + vertical </w:t>
            </w:r>
            <w:r>
              <w:rPr>
                <w:rFonts w:ascii="Consolas" w:hAnsi="Consolas"/>
                <w:sz w:val="19"/>
              </w:rPr>
              <w:t>*Dashboard</w:t>
            </w:r>
          </w:p>
        </w:tc>
        <w:tc>
          <w:tcPr>
            <w:tcW w:type="dxa" w:w="2160"/>
          </w:tcPr>
          <w:p>
            <w:r>
              <w:t>Vertical-exclusive</w:t>
            </w:r>
          </w:p>
        </w:tc>
        <w:tc>
          <w:tcPr>
            <w:tcW w:type="dxa" w:w="2160"/>
          </w:tcPr>
          <w:p>
            <w:r>
              <w:t>Leave</w:t>
            </w:r>
          </w:p>
        </w:tc>
      </w:tr>
      <w:tr>
        <w:tc>
          <w:tcPr>
            <w:tcW w:type="dxa" w:w="2160"/>
          </w:tcPr>
          <w:p>
            <w:r>
              <w:rPr>
                <w:b/>
              </w:rPr>
              <w:t>Settings page-level stutter</w:t>
            </w:r>
          </w:p>
        </w:tc>
        <w:tc>
          <w:tcPr>
            <w:tcW w:type="dxa" w:w="2160"/>
          </w:tcPr>
          <w:p>
            <w:r>
              <w:t>Workflows/Approvals/Templates · Integration Hub/Connections/Sync · Reporting Lines/Org Structure</w:t>
            </w:r>
          </w:p>
        </w:tc>
        <w:tc>
          <w:tcPr>
            <w:tcW w:type="dxa" w:w="2160"/>
          </w:tcPr>
          <w:p>
            <w:r>
              <w:t>Sibling pages that are facets</w:t>
            </w:r>
          </w:p>
        </w:tc>
        <w:tc>
          <w:tcPr>
            <w:tcW w:type="dxa" w:w="2160"/>
          </w:tcPr>
          <w:p>
            <w:r>
              <w:rPr>
                <w:b/>
              </w:rPr>
              <w:t>Settings M3</w:t>
            </w:r>
            <w:r>
              <w:t xml:space="preserve"> (merge to tabs)</w:t>
            </w:r>
          </w:p>
        </w:tc>
      </w:tr>
      <w:tr>
        <w:tc>
          <w:tcPr>
            <w:tcW w:type="dxa" w:w="2160"/>
          </w:tcPr>
          <w:p>
            <w:r>
              <w:rPr>
                <w:b/>
              </w:rPr>
              <w:t>Audit Log</w:t>
            </w:r>
          </w:p>
        </w:tc>
        <w:tc>
          <w:tcPr>
            <w:tcW w:type="dxa" w:w="2160"/>
          </w:tcPr>
          <w:p>
            <w:r>
              <w:rPr>
                <w:rFonts w:ascii="Consolas" w:hAnsi="Consolas"/>
                <w:sz w:val="19"/>
              </w:rPr>
              <w:t>/platform/audit</w:t>
            </w:r>
            <w:r>
              <w:t xml:space="preserve"> listed for platform staff </w:t>
            </w:r>
            <w:r>
              <w:rPr>
                <w:b/>
              </w:rPr>
              <w:t>and</w:t>
            </w:r>
            <w:r>
              <w:t xml:space="preserve"> tenant super-admins</w:t>
            </w:r>
          </w:p>
        </w:tc>
        <w:tc>
          <w:tcPr>
            <w:tcW w:type="dxa" w:w="2160"/>
          </w:tcPr>
          <w:p>
            <w:r>
              <w:t>Same route, two audiences</w:t>
            </w:r>
          </w:p>
        </w:tc>
        <w:tc>
          <w:tcPr>
            <w:tcW w:type="dxa" w:w="2160"/>
          </w:tcPr>
          <w:p>
            <w:r>
              <w:t>Intentional; keep</w:t>
            </w:r>
          </w:p>
        </w:tc>
      </w:tr>
    </w:tbl>
    <w:p/>
    <w:p>
      <w:pPr>
        <w:pStyle w:val="Heading2"/>
      </w:pPr>
      <w:r>
        <w:rPr>
          <w:color w:val="1F497D"/>
        </w:rPr>
        <w:t>4. Top 10 UX inconsistencies still present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  <w:shd w:val="clear" w:fill="1F497D"/>
          </w:tcPr>
          <w:p>
            <w:r>
              <w:rPr>
                <w:b/>
                <w:color w:val="FFFFFF"/>
              </w:rPr>
              <w:t>#</w:t>
            </w:r>
          </w:p>
        </w:tc>
        <w:tc>
          <w:tcPr>
            <w:tcW w:type="dxa" w:w="2160"/>
            <w:shd w:val="clear" w:fill="1F497D"/>
          </w:tcPr>
          <w:p>
            <w:r>
              <w:rPr>
                <w:b/>
                <w:color w:val="FFFFFF"/>
              </w:rPr>
              <w:t>Inconsistency</w:t>
            </w:r>
          </w:p>
        </w:tc>
        <w:tc>
          <w:tcPr>
            <w:tcW w:type="dxa" w:w="2160"/>
            <w:shd w:val="clear" w:fill="1F497D"/>
          </w:tcPr>
          <w:p>
            <w:r>
              <w:rPr>
                <w:b/>
                <w:color w:val="FFFFFF"/>
              </w:rPr>
              <w:t>Where</w:t>
            </w:r>
          </w:p>
        </w:tc>
        <w:tc>
          <w:tcPr>
            <w:tcW w:type="dxa" w:w="2160"/>
            <w:shd w:val="clear" w:fill="1F497D"/>
          </w:tcPr>
          <w:p>
            <w:r>
              <w:rPr>
                <w:b/>
                <w:color w:val="FFFFFF"/>
              </w:rPr>
              <w:t>Fix track</w:t>
            </w:r>
          </w:p>
        </w:tc>
      </w:tr>
      <w:tr>
        <w:tc>
          <w:tcPr>
            <w:tcW w:type="dxa" w:w="2160"/>
          </w:tcPr>
          <w:p>
            <w:r>
              <w:t>1</w:t>
            </w:r>
          </w:p>
        </w:tc>
        <w:tc>
          <w:tcPr>
            <w:tcW w:type="dxa" w:w="2160"/>
          </w:tcPr>
          <w:p>
            <w:r>
              <w:rPr>
                <w:b/>
              </w:rPr>
              <w:t>Platform entity pages are bespoke</w:t>
            </w:r>
            <w:r>
              <w:t xml:space="preserve"> (not AdminWorkbench)</w:t>
            </w:r>
          </w:p>
        </w:tc>
        <w:tc>
          <w:tcPr>
            <w:tcW w:type="dxa" w:w="2160"/>
          </w:tcPr>
          <w:p>
            <w:r>
              <w:rPr>
                <w:rFonts w:ascii="Consolas" w:hAnsi="Consolas"/>
                <w:sz w:val="19"/>
              </w:rPr>
              <w:t>/platform/plans</w:t>
            </w:r>
            <w:r>
              <w:t xml:space="preserve">, </w:t>
            </w:r>
            <w:r>
              <w:rPr>
                <w:rFonts w:ascii="Consolas" w:hAnsi="Consolas"/>
                <w:sz w:val="19"/>
              </w:rPr>
              <w:t>/roles</w:t>
            </w:r>
            <w:r>
              <w:t xml:space="preserve">, </w:t>
            </w:r>
            <w:r>
              <w:rPr>
                <w:rFonts w:ascii="Consolas" w:hAnsi="Consolas"/>
                <w:sz w:val="19"/>
              </w:rPr>
              <w:t>/staff</w:t>
            </w:r>
            <w:r>
              <w:t xml:space="preserve">, </w:t>
            </w:r>
            <w:r>
              <w:rPr>
                <w:rFonts w:ascii="Consolas" w:hAnsi="Consolas"/>
                <w:sz w:val="19"/>
              </w:rPr>
              <w:t>/billing</w:t>
            </w:r>
          </w:p>
        </w:tc>
        <w:tc>
          <w:tcPr>
            <w:tcW w:type="dxa" w:w="2160"/>
          </w:tcPr>
          <w:p>
            <w:r>
              <w:t>Admin Center alignment</w:t>
            </w:r>
          </w:p>
        </w:tc>
      </w:tr>
      <w:tr>
        <w:tc>
          <w:tcPr>
            <w:tcW w:type="dxa" w:w="2160"/>
          </w:tcPr>
          <w:p>
            <w:r>
              <w:t>2</w:t>
            </w:r>
          </w:p>
        </w:tc>
        <w:tc>
          <w:tcPr>
            <w:tcW w:type="dxa" w:w="2160"/>
          </w:tcPr>
          <w:p>
            <w:r>
              <w:rPr>
                <w:b/>
              </w:rPr>
              <w:t>Two list patterns</w:t>
            </w:r>
            <w:r>
              <w:t xml:space="preserve"> — client </w:t>
            </w:r>
            <w:r>
              <w:rPr>
                <w:rFonts w:ascii="Consolas" w:hAnsi="Consolas"/>
                <w:sz w:val="19"/>
              </w:rPr>
              <w:t>EntityListPanel</w:t>
            </w:r>
            <w:r>
              <w:t xml:space="preserve"> (≤200) vs server pagination</w:t>
            </w:r>
          </w:p>
        </w:tc>
        <w:tc>
          <w:tcPr>
            <w:tcW w:type="dxa" w:w="2160"/>
          </w:tcPr>
          <w:p>
            <w:r>
              <w:t>Settings vs Platform</w:t>
            </w:r>
          </w:p>
        </w:tc>
        <w:tc>
          <w:tcPr>
            <w:tcW w:type="dxa" w:w="2160"/>
          </w:tcPr>
          <w:p>
            <w:r>
              <w:t>Admin Center alignment</w:t>
            </w:r>
          </w:p>
        </w:tc>
      </w:tr>
      <w:tr>
        <w:tc>
          <w:tcPr>
            <w:tcW w:type="dxa" w:w="2160"/>
          </w:tcPr>
          <w:p>
            <w:r>
              <w:t>3</w:t>
            </w:r>
          </w:p>
        </w:tc>
        <w:tc>
          <w:tcPr>
            <w:tcW w:type="dxa" w:w="2160"/>
          </w:tcPr>
          <w:p>
            <w:r>
              <w:rPr>
                <w:b/>
              </w:rPr>
              <w:t>`/customers` is bespoke</w:t>
            </w:r>
            <w:r>
              <w:t>, not the workbench pattern</w:t>
            </w:r>
          </w:p>
        </w:tc>
        <w:tc>
          <w:tcPr>
            <w:tcW w:type="dxa" w:w="2160"/>
          </w:tcPr>
          <w:p>
            <w:r>
              <w:t>CRM</w:t>
            </w:r>
          </w:p>
        </w:tc>
        <w:tc>
          <w:tcPr>
            <w:tcW w:type="dxa" w:w="2160"/>
          </w:tcPr>
          <w:p>
            <w:r>
              <w:t>P5</w:t>
            </w:r>
          </w:p>
        </w:tc>
      </w:tr>
      <w:tr>
        <w:tc>
          <w:tcPr>
            <w:tcW w:type="dxa" w:w="2160"/>
          </w:tcPr>
          <w:p>
            <w:r>
              <w:t>4</w:t>
            </w:r>
          </w:p>
        </w:tc>
        <w:tc>
          <w:tcPr>
            <w:tcW w:type="dxa" w:w="2160"/>
          </w:tcPr>
          <w:p>
            <w:r>
              <w:rPr>
                <w:b/>
              </w:rPr>
              <w:t>Customer 360 timeline is financial-only</w:t>
            </w:r>
            <w:r>
              <w:t xml:space="preserve"> (no requests/surveys/visits)</w:t>
            </w:r>
          </w:p>
        </w:tc>
        <w:tc>
          <w:tcPr>
            <w:tcW w:type="dxa" w:w="2160"/>
          </w:tcPr>
          <w:p>
            <w:r>
              <w:rPr>
                <w:rFonts w:ascii="Consolas" w:hAnsi="Consolas"/>
                <w:sz w:val="19"/>
              </w:rPr>
              <w:t>/customers/[id]/360</w:t>
            </w:r>
          </w:p>
        </w:tc>
        <w:tc>
          <w:tcPr>
            <w:tcW w:type="dxa" w:w="2160"/>
          </w:tcPr>
          <w:p>
            <w:r>
              <w:t>CRM evolution</w:t>
            </w:r>
          </w:p>
        </w:tc>
      </w:tr>
      <w:tr>
        <w:tc>
          <w:tcPr>
            <w:tcW w:type="dxa" w:w="2160"/>
          </w:tcPr>
          <w:p>
            <w:r>
              <w:t>5</w:t>
            </w:r>
          </w:p>
        </w:tc>
        <w:tc>
          <w:tcPr>
            <w:tcW w:type="dxa" w:w="2160"/>
          </w:tcPr>
          <w:p>
            <w:r>
              <w:rPr>
                <w:b/>
              </w:rPr>
              <w:t>Settings page-level stutter</w:t>
            </w:r>
            <w:r>
              <w:t xml:space="preserve"> (Workflows/Approvals/Templates, etc. as separate pages)</w:t>
            </w:r>
          </w:p>
        </w:tc>
        <w:tc>
          <w:tcPr>
            <w:tcW w:type="dxa" w:w="2160"/>
          </w:tcPr>
          <w:p>
            <w:r>
              <w:t>Settings</w:t>
            </w:r>
          </w:p>
        </w:tc>
        <w:tc>
          <w:tcPr>
            <w:tcW w:type="dxa" w:w="2160"/>
          </w:tcPr>
          <w:p>
            <w:r>
              <w:t>Settings M3</w:t>
            </w:r>
          </w:p>
        </w:tc>
      </w:tr>
      <w:tr>
        <w:tc>
          <w:tcPr>
            <w:tcW w:type="dxa" w:w="2160"/>
          </w:tcPr>
          <w:p>
            <w:r>
              <w:t>6</w:t>
            </w:r>
          </w:p>
        </w:tc>
        <w:tc>
          <w:tcPr>
            <w:tcW w:type="dxa" w:w="2160"/>
          </w:tcPr>
          <w:p>
            <w:r>
              <w:rPr>
                <w:b/>
              </w:rPr>
              <w:t>`EntityActionBar` only in 3 surfaces</w:t>
            </w:r>
            <w:r>
              <w:t>; platform + customers use ad-hoc buttons</w:t>
            </w:r>
          </w:p>
        </w:tc>
        <w:tc>
          <w:tcPr>
            <w:tcW w:type="dxa" w:w="2160"/>
          </w:tcPr>
          <w:p>
            <w:r>
              <w:t>Platform, CRM</w:t>
            </w:r>
          </w:p>
        </w:tc>
        <w:tc>
          <w:tcPr>
            <w:tcW w:type="dxa" w:w="2160"/>
          </w:tcPr>
          <w:p>
            <w:r>
              <w:t>Admin Center alignment / P5</w:t>
            </w:r>
          </w:p>
        </w:tc>
      </w:tr>
      <w:tr>
        <w:tc>
          <w:tcPr>
            <w:tcW w:type="dxa" w:w="2160"/>
          </w:tcPr>
          <w:p>
            <w:r>
              <w:t>7</w:t>
            </w:r>
          </w:p>
        </w:tc>
        <w:tc>
          <w:tcPr>
            <w:tcW w:type="dxa" w:w="2160"/>
          </w:tcPr>
          <w:p>
            <w:r>
              <w:rPr>
                <w:b/>
              </w:rPr>
              <w:t>`ActivityFeed` (audit) only in Settings workbenches</w:t>
            </w:r>
            <w:r>
              <w:t>; absent on platform + customers</w:t>
            </w:r>
          </w:p>
        </w:tc>
        <w:tc>
          <w:tcPr>
            <w:tcW w:type="dxa" w:w="2160"/>
          </w:tcPr>
          <w:p>
            <w:r>
              <w:t>Platform, CRM</w:t>
            </w:r>
          </w:p>
        </w:tc>
        <w:tc>
          <w:tcPr>
            <w:tcW w:type="dxa" w:w="2160"/>
          </w:tcPr>
          <w:p>
            <w:r>
              <w:t>Admin Center alignment</w:t>
            </w:r>
          </w:p>
        </w:tc>
      </w:tr>
      <w:tr>
        <w:tc>
          <w:tcPr>
            <w:tcW w:type="dxa" w:w="2160"/>
          </w:tcPr>
          <w:p>
            <w:r>
              <w:t>8</w:t>
            </w:r>
          </w:p>
        </w:tc>
        <w:tc>
          <w:tcPr>
            <w:tcW w:type="dxa" w:w="2160"/>
          </w:tcPr>
          <w:p>
            <w:r>
              <w:rPr>
                <w:b/>
              </w:rPr>
              <w:t>Container rule not yet uniformly applied</w:t>
            </w:r>
            <w:r>
              <w:t xml:space="preserve"> (Features=ModulePage vs others=Workbench — now documented, P3)</w:t>
            </w:r>
          </w:p>
        </w:tc>
        <w:tc>
          <w:tcPr>
            <w:tcW w:type="dxa" w:w="2160"/>
          </w:tcPr>
          <w:p>
            <w:r>
              <w:t>Settings/Platform</w:t>
            </w:r>
          </w:p>
        </w:tc>
        <w:tc>
          <w:tcPr>
            <w:tcW w:type="dxa" w:w="2160"/>
          </w:tcPr>
          <w:p>
            <w:r>
              <w:t>Admin Center alignment</w:t>
            </w:r>
          </w:p>
        </w:tc>
      </w:tr>
      <w:tr>
        <w:tc>
          <w:tcPr>
            <w:tcW w:type="dxa" w:w="2160"/>
          </w:tcPr>
          <w:p>
            <w:r>
              <w:t>9</w:t>
            </w:r>
          </w:p>
        </w:tc>
        <w:tc>
          <w:tcPr>
            <w:tcW w:type="dxa" w:w="2160"/>
          </w:tcPr>
          <w:p>
            <w:r>
              <w:rPr>
                <w:b/>
              </w:rPr>
              <w:t>No consistent "Reports" naming/grouping</w:t>
            </w:r>
            <w:r>
              <w:t xml:space="preserve"> across modules</w:t>
            </w:r>
          </w:p>
        </w:tc>
        <w:tc>
          <w:tcPr>
            <w:tcW w:type="dxa" w:w="2160"/>
          </w:tcPr>
          <w:p>
            <w:r>
              <w:t>Sales/Dist/Pharmacy/Clinic/…</w:t>
            </w:r>
          </w:p>
        </w:tc>
        <w:tc>
          <w:tcPr>
            <w:tcW w:type="dxa" w:w="2160"/>
          </w:tcPr>
          <w:p>
            <w:r>
              <w:t>Naming convention (later)</w:t>
            </w:r>
          </w:p>
        </w:tc>
      </w:tr>
      <w:tr>
        <w:tc>
          <w:tcPr>
            <w:tcW w:type="dxa" w:w="2160"/>
          </w:tcPr>
          <w:p>
            <w:r>
              <w:t>10</w:t>
            </w:r>
          </w:p>
        </w:tc>
        <w:tc>
          <w:tcPr>
            <w:tcW w:type="dxa" w:w="2160"/>
          </w:tcPr>
          <w:p>
            <w:r>
              <w:rPr>
                <w:b/>
              </w:rPr>
              <w:t>`/customers` layout gates on `sales`, not `crm`</w:t>
            </w:r>
            <w:r>
              <w:t xml:space="preserve"> (latent: CRM-only tenant)</w:t>
            </w:r>
          </w:p>
        </w:tc>
        <w:tc>
          <w:tcPr>
            <w:tcW w:type="dxa" w:w="2160"/>
          </w:tcPr>
          <w:p>
            <w:r>
              <w:t>CRM</w:t>
            </w:r>
          </w:p>
        </w:tc>
        <w:tc>
          <w:tcPr>
            <w:tcW w:type="dxa" w:w="2160"/>
          </w:tcPr>
          <w:p>
            <w:r>
              <w:t>Reconcile when permission changes are in scope</w:t>
            </w:r>
          </w:p>
        </w:tc>
      </w:tr>
    </w:tbl>
    <w:p/>
    <w:p>
      <w:r>
        <w:t>*(Runner-up: Personal items — My Account / Design System — still inside Settings; relocation is the deferred M4.)*</w:t>
      </w:r>
    </w:p>
    <w:p>
      <w:pPr>
        <w:pStyle w:val="Heading2"/>
      </w:pPr>
      <w:r>
        <w:rPr>
          <w:color w:val="1F497D"/>
        </w:rPr>
        <w:t>5. Recommended implementation order (remaining work)</w:t>
      </w:r>
    </w:p>
    <w:p>
      <w:r>
        <w:t xml:space="preserve">Ordered to honour </w:t>
      </w:r>
      <w:r>
        <w:rPr>
          <w:b/>
        </w:rPr>
        <w:t>consistency before features</w:t>
      </w:r>
      <w:r>
        <w:t>, finish-what's-started, then largest-gap-first: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728"/>
            <w:shd w:val="clear" w:fill="1F497D"/>
          </w:tcPr>
          <w:p>
            <w:r>
              <w:rPr>
                <w:b/>
                <w:color w:val="FFFFFF"/>
              </w:rPr>
              <w:t>Order</w:t>
            </w:r>
          </w:p>
        </w:tc>
        <w:tc>
          <w:tcPr>
            <w:tcW w:type="dxa" w:w="1728"/>
            <w:shd w:val="clear" w:fill="1F497D"/>
          </w:tcPr>
          <w:p>
            <w:r>
              <w:rPr>
                <w:b/>
                <w:color w:val="FFFFFF"/>
              </w:rPr>
              <w:t>Workstream</w:t>
            </w:r>
          </w:p>
        </w:tc>
        <w:tc>
          <w:tcPr>
            <w:tcW w:type="dxa" w:w="1728"/>
            <w:shd w:val="clear" w:fill="1F497D"/>
          </w:tcPr>
          <w:p>
            <w:r>
              <w:rPr>
                <w:b/>
                <w:color w:val="FFFFFF"/>
              </w:rPr>
              <w:t>Why here</w:t>
            </w:r>
          </w:p>
        </w:tc>
        <w:tc>
          <w:tcPr>
            <w:tcW w:type="dxa" w:w="1728"/>
            <w:shd w:val="clear" w:fill="1F497D"/>
          </w:tcPr>
          <w:p>
            <w:r>
              <w:rPr>
                <w:b/>
                <w:color w:val="FFFFFF"/>
              </w:rPr>
              <w:t>Risk</w:t>
            </w:r>
          </w:p>
        </w:tc>
        <w:tc>
          <w:tcPr>
            <w:tcW w:type="dxa" w:w="1728"/>
            <w:shd w:val="clear" w:fill="1F497D"/>
          </w:tcPr>
          <w:p>
            <w:r>
              <w:rPr>
                <w:b/>
                <w:color w:val="FFFFFF"/>
              </w:rPr>
              <w:t>Constraints</w:t>
            </w:r>
          </w:p>
        </w:tc>
      </w:tr>
      <w:tr>
        <w:tc>
          <w:tcPr>
            <w:tcW w:type="dxa" w:w="1728"/>
          </w:tcPr>
          <w:p>
            <w:r>
              <w:rPr>
                <w:b/>
              </w:rPr>
              <w:t>1</w:t>
            </w:r>
          </w:p>
        </w:tc>
        <w:tc>
          <w:tcPr>
            <w:tcW w:type="dxa" w:w="1728"/>
          </w:tcPr>
          <w:p>
            <w:r>
              <w:rPr>
                <w:b/>
              </w:rPr>
              <w:t>Settings M3</w:t>
            </w:r>
            <w:r>
              <w:t xml:space="preserve"> (merge facet-pages → tabs: Workflows, Integrations, Roles &amp; Permissions, Custom Fields, Import/Export, Onboarding)</w:t>
            </w:r>
          </w:p>
        </w:tc>
        <w:tc>
          <w:tcPr>
            <w:tcW w:type="dxa" w:w="1728"/>
          </w:tcPr>
          <w:p>
            <w:r>
              <w:t>Finishes the Settings story; removes the last page-level stutter; reuse-only with old-route redirects</w:t>
            </w:r>
          </w:p>
        </w:tc>
        <w:tc>
          <w:tcPr>
            <w:tcW w:type="dxa" w:w="1728"/>
          </w:tcPr>
          <w:p>
            <w:r>
              <w:t>Med (routes via redirect)</w:t>
            </w:r>
          </w:p>
        </w:tc>
        <w:tc>
          <w:tcPr>
            <w:tcW w:type="dxa" w:w="1728"/>
          </w:tcPr>
          <w:p>
            <w:r>
              <w:t>No logic/permission/RLS/workflow change</w:t>
            </w:r>
          </w:p>
        </w:tc>
      </w:tr>
      <w:tr>
        <w:tc>
          <w:tcPr>
            <w:tcW w:type="dxa" w:w="1728"/>
          </w:tcPr>
          <w:p>
            <w:r>
              <w:rPr>
                <w:b/>
              </w:rPr>
              <w:t>2</w:t>
            </w:r>
          </w:p>
        </w:tc>
        <w:tc>
          <w:tcPr>
            <w:tcW w:type="dxa" w:w="1728"/>
          </w:tcPr>
          <w:p>
            <w:r>
              <w:rPr>
                <w:b/>
              </w:rPr>
              <w:t>Admin Center alignment</w:t>
            </w:r>
            <w:r>
              <w:t xml:space="preserve"> (apply P3 rule: Plans/Roles/Staff → AdminWorkbench; add EntityActionBar + ActivityFeed; unify list pagination via EntityListPanel server-search)</w:t>
            </w:r>
          </w:p>
        </w:tc>
        <w:tc>
          <w:tcPr>
            <w:tcW w:type="dxa" w:w="1728"/>
          </w:tcPr>
          <w:p>
            <w:r>
              <w:t>Largest remaining consistency gap; raises the whole platform layer to the standard</w:t>
            </w:r>
          </w:p>
        </w:tc>
        <w:tc>
          <w:tcPr>
            <w:tcW w:type="dxa" w:w="1728"/>
          </w:tcPr>
          <w:p>
            <w:r>
              <w:t>Med</w:t>
            </w:r>
          </w:p>
        </w:tc>
        <w:tc>
          <w:tcPr>
            <w:tcW w:type="dxa" w:w="1728"/>
          </w:tcPr>
          <w:p>
            <w:r>
              <w:t>UX-standardization; reuse existing managers/actions</w:t>
            </w:r>
          </w:p>
        </w:tc>
      </w:tr>
      <w:tr>
        <w:tc>
          <w:tcPr>
            <w:tcW w:type="dxa" w:w="1728"/>
          </w:tcPr>
          <w:p>
            <w:r>
              <w:rPr>
                <w:b/>
              </w:rPr>
              <w:t>3</w:t>
            </w:r>
          </w:p>
        </w:tc>
        <w:tc>
          <w:tcPr>
            <w:tcW w:type="dxa" w:w="1728"/>
          </w:tcPr>
          <w:p>
            <w:r>
              <w:rPr>
                <w:b/>
              </w:rPr>
              <w:t>P5</w:t>
            </w:r>
            <w:r>
              <w:t xml:space="preserve"> (</w:t>
            </w:r>
            <w:r>
              <w:rPr>
                <w:rFonts w:ascii="Consolas" w:hAnsi="Consolas"/>
                <w:sz w:val="19"/>
              </w:rPr>
              <w:t>/customers</w:t>
            </w:r>
            <w:r>
              <w:t xml:space="preserve"> → AdminWorkbench + Customer360 facets; reconcile gating note)</w:t>
            </w:r>
          </w:p>
        </w:tc>
        <w:tc>
          <w:tcPr>
            <w:tcW w:type="dxa" w:w="1728"/>
          </w:tcPr>
          <w:p>
            <w:r>
              <w:t>Ties CRM into the same pattern; depends on #2's primitives</w:t>
            </w:r>
          </w:p>
        </w:tc>
        <w:tc>
          <w:tcPr>
            <w:tcW w:type="dxa" w:w="1728"/>
          </w:tcPr>
          <w:p>
            <w:r>
              <w:t>Med</w:t>
            </w:r>
          </w:p>
        </w:tc>
        <w:tc>
          <w:tcPr>
            <w:tcW w:type="dxa" w:w="1728"/>
          </w:tcPr>
          <w:p>
            <w:r>
              <w:t>Reuse actions; no logic change</w:t>
            </w:r>
          </w:p>
        </w:tc>
      </w:tr>
      <w:tr>
        <w:tc>
          <w:tcPr>
            <w:tcW w:type="dxa" w:w="1728"/>
          </w:tcPr>
          <w:p>
            <w:r>
              <w:rPr>
                <w:b/>
              </w:rPr>
              <w:t>4</w:t>
            </w:r>
          </w:p>
        </w:tc>
        <w:tc>
          <w:tcPr>
            <w:tcW w:type="dxa" w:w="1728"/>
          </w:tcPr>
          <w:p>
            <w:r>
              <w:rPr>
                <w:b/>
              </w:rPr>
              <w:t>CRM evolution</w:t>
            </w:r>
            <w:r>
              <w:t xml:space="preserve"> (design-first): unified activity timeline consolidating existing requests/visits/surveys → then Leads/Opportunities/Pipeline/Accounts</w:t>
            </w:r>
          </w:p>
        </w:tc>
        <w:tc>
          <w:tcPr>
            <w:tcW w:type="dxa" w:w="1728"/>
          </w:tcPr>
          <w:p>
            <w:r>
              <w:rPr>
                <w:b/>
              </w:rPr>
              <w:t>New features</w:t>
            </w:r>
            <w:r>
              <w:t xml:space="preserve"> — explicitly last, per "architecture before features"; design + approval before any build</w:t>
            </w:r>
          </w:p>
        </w:tc>
        <w:tc>
          <w:tcPr>
            <w:tcW w:type="dxa" w:w="1728"/>
          </w:tcPr>
          <w:p>
            <w:r>
              <w:t>—</w:t>
            </w:r>
          </w:p>
        </w:tc>
        <w:tc>
          <w:tcPr>
            <w:tcW w:type="dxa" w:w="1728"/>
          </w:tcPr>
          <w:p>
            <w:r>
              <w:t>Separate design-first workstream</w:t>
            </w:r>
          </w:p>
        </w:tc>
      </w:tr>
    </w:tbl>
    <w:p/>
    <w:p>
      <w:r>
        <w:rPr>
          <w:b/>
        </w:rPr>
        <w:t>Rationale:</w:t>
      </w:r>
      <w:r>
        <w:t xml:space="preserve"> 1–3 are reuse-only consistency work (no new features) and should land before 4. CRM evolution (4) is the only net-new feature set and stays design-first.</w:t>
      </w:r>
    </w:p>
    <w:p>
      <w:pPr>
        <w:pStyle w:val="Heading2"/>
      </w:pPr>
      <w:r>
        <w:rPr>
          <w:color w:val="1F497D"/>
        </w:rPr>
        <w:t>6. Status snapshot</w:t>
      </w:r>
    </w:p>
    <w:p>
      <w:pPr>
        <w:pStyle w:val="ListBullet"/>
      </w:pPr>
      <w:r>
        <w:rPr>
          <w:b/>
        </w:rPr>
        <w:t>Shipped &amp; green</w:t>
      </w:r>
      <w:r>
        <w:t xml:space="preserve"> (tsc · 1592 tests · build): Settings M1+M2, P1, P2, P3, P4.</w:t>
      </w:r>
    </w:p>
    <w:p>
      <w:pPr>
        <w:pStyle w:val="ListBullet"/>
      </w:pPr>
      <w:r>
        <w:rPr>
          <w:b/>
        </w:rPr>
        <w:t>Deferred:</w:t>
      </w:r>
      <w:r>
        <w:t xml:space="preserve"> Settings M3, P5, P6/CRM evolution, M4 (Personal relocation), Admin Center alignment — all sequenced above.</w:t>
      </w:r>
    </w:p>
    <w:p>
      <w:pPr>
        <w:pStyle w:val="ListBullet"/>
      </w:pPr>
      <w:r>
        <w:rPr>
          <w:b/>
        </w:rPr>
        <w:t>Open for your sign-off:</w:t>
      </w:r>
      <w:r>
        <w:t xml:space="preserve"> the live preview of the CRM umbrella + grouped Sales/Distribution.</w:t>
      </w:r>
    </w:p>
    <w:p>
      <w:r>
        <w:t>No implementation until you pick the next workstream.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