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P5-4 — Customer Workbench Rewire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P5-4 — /customers Rewired onto the Customer Workbench</w:t>
      </w:r>
    </w:p>
    <w:p>
      <w:pPr>
        <w:pStyle w:val="Heading3"/>
      </w:pPr>
      <w:r>
        <w:t>Final wiring · deep-link redirects · completion sign-off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</w:t>
      </w:r>
      <w:r>
        <w:rPr>
          <w:b/>
        </w:rPr>
        <w:t>PR:</w:t>
      </w:r>
      <w:r>
        <w:t xml:space="preserve"> #319 · </w:t>
      </w:r>
      <w:r>
        <w:rPr>
          <w:b/>
        </w:rPr>
        <w:t>Date:</w:t>
      </w:r>
      <w:r>
        <w:t xml:space="preserve"> 2026-06-19 · </w:t>
      </w:r>
      <w:r>
        <w:rPr>
          <w:b/>
        </w:rPr>
        <w:t>Status:</w:t>
      </w:r>
      <w:r>
        <w:t xml:space="preserve"> Implemented · validated · pushed</w:t>
      </w:r>
    </w:p>
    <w:p>
      <w:r>
        <w:rPr>
          <w:rFonts w:ascii="Consolas" w:hAnsi="Consolas"/>
          <w:sz w:val="19"/>
        </w:rPr>
        <w:t>/customers</w:t>
      </w:r>
      <w:r>
        <w:t xml:space="preserve"> now runs entirely on the canonical </w:t>
      </w:r>
      <w:r>
        <w:rPr>
          <w:rFonts w:ascii="Consolas" w:hAnsi="Consolas"/>
          <w:sz w:val="19"/>
        </w:rPr>
        <w:t>CustomersWorkbench</w:t>
      </w:r>
      <w:r>
        <w:t xml:space="preserve">. The bespoke </w:t>
      </w:r>
      <w:r>
        <w:rPr>
          <w:rFonts w:ascii="Consolas" w:hAnsi="Consolas"/>
          <w:sz w:val="19"/>
        </w:rPr>
        <w:t>CustomersManager</w:t>
      </w:r>
      <w:r>
        <w:t xml:space="preserve"> is removed; the old detail routes redirect into the workbench. Reuse-first: same server query, same actions, same gates. No business-logic, permission, RLS, or workflow change; no functional reduction.</w:t>
      </w:r>
    </w:p>
    <w:p>
      <w:pPr>
        <w:pStyle w:val="Heading2"/>
      </w:pPr>
      <w:r>
        <w:rPr>
          <w:color w:val="1F497D"/>
        </w:rPr>
        <w:t>1. Scope delivered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4320"/>
          </w:tcPr>
          <w:p>
            <w:r>
              <w:t xml:space="preserve">Rewire </w:t>
            </w:r>
            <w:r>
              <w:rPr>
                <w:rFonts w:ascii="Consolas" w:hAnsi="Consolas"/>
                <w:sz w:val="19"/>
              </w:rPr>
              <w:t>/customers/page.tsx</w:t>
            </w:r>
          </w:p>
        </w:tc>
        <w:tc>
          <w:tcPr>
            <w:tcW w:type="dxa" w:w="4320"/>
          </w:tcPr>
          <w:p>
            <w:r>
              <w:t xml:space="preserve">Renders </w:t>
            </w:r>
            <w:r>
              <w:rPr>
                <w:rFonts w:ascii="Consolas" w:hAnsi="Consolas"/>
                <w:sz w:val="19"/>
              </w:rPr>
              <w:t>CustomersWorkbench</w:t>
            </w:r>
            <w:r>
              <w:t xml:space="preserve"> (was </w:t>
            </w:r>
            <w:r>
              <w:rPr>
                <w:rFonts w:ascii="Consolas" w:hAnsi="Consolas"/>
                <w:sz w:val="19"/>
              </w:rPr>
              <w:t>CustomersManager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Server search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ListSearch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?q</w:t>
            </w:r>
            <w:r>
              <w:t xml:space="preserve"> → whole-table re-query</w:t>
            </w:r>
          </w:p>
        </w:tc>
      </w:tr>
      <w:tr>
        <w:tc>
          <w:tcPr>
            <w:tcW w:type="dxa" w:w="4320"/>
          </w:tcPr>
          <w:p>
            <w:r>
              <w:t>3 existing filters</w:t>
            </w:r>
          </w:p>
        </w:tc>
        <w:tc>
          <w:tcPr>
            <w:tcW w:type="dxa" w:w="4320"/>
          </w:tcPr>
          <w:p>
            <w:r>
              <w:t xml:space="preserve">Segment · Classification · Channel selects → </w:t>
            </w:r>
            <w:r>
              <w:rPr>
                <w:rFonts w:ascii="Consolas" w:hAnsi="Consolas"/>
                <w:sz w:val="19"/>
              </w:rPr>
              <w:t>?segment/classification/channel</w:t>
            </w:r>
          </w:p>
        </w:tc>
      </w:tr>
      <w:tr>
        <w:tc>
          <w:tcPr>
            <w:tcW w:type="dxa" w:w="4320"/>
          </w:tcPr>
          <w:p>
            <w:r>
              <w:t>Pagination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Pager</w:t>
            </w:r>
            <w:r>
              <w:t xml:space="preserve"> inside the list panel → </w:t>
            </w:r>
            <w:r>
              <w:rPr>
                <w:rFonts w:ascii="Consolas" w:hAnsi="Consolas"/>
                <w:sz w:val="19"/>
              </w:rPr>
              <w:t>?page</w:t>
            </w:r>
            <w:r>
              <w:t>, preserving filters + selection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[id]</w:t>
            </w:r>
            <w:r>
              <w:t xml:space="preserve"> redirect stub</w:t>
            </w:r>
          </w:p>
        </w:tc>
        <w:tc>
          <w:tcPr>
            <w:tcW w:type="dxa" w:w="432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/customers?id=&lt;id&gt;&amp;tab=statement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[id]/360</w:t>
            </w:r>
            <w:r>
              <w:t xml:space="preserve"> redirect stub</w:t>
            </w:r>
          </w:p>
        </w:tc>
        <w:tc>
          <w:tcPr>
            <w:tcW w:type="dxa" w:w="4320"/>
          </w:tcPr>
          <w:p>
            <w:r>
              <w:t xml:space="preserve">→ </w:t>
            </w:r>
            <w:r>
              <w:rPr>
                <w:rFonts w:ascii="Consolas" w:hAnsi="Consolas"/>
                <w:sz w:val="19"/>
              </w:rPr>
              <w:t>/customers?id=&lt;id&gt;&amp;tab=activity</w:t>
            </w:r>
          </w:p>
        </w:tc>
      </w:tr>
      <w:tr>
        <w:tc>
          <w:tcPr>
            <w:tcW w:type="dxa" w:w="4320"/>
          </w:tcPr>
          <w:p>
            <w:r>
              <w:t>URL-addressable selection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?id=&amp;tab=</w:t>
            </w:r>
            <w:r>
              <w:t xml:space="preserve"> preserved across every list interaction</w:t>
            </w:r>
          </w:p>
        </w:tc>
      </w:tr>
    </w:tbl>
    <w:p/>
    <w:p>
      <w:pPr>
        <w:pStyle w:val="Heading2"/>
      </w:pPr>
      <w:r>
        <w:rPr>
          <w:color w:val="1F497D"/>
        </w:rPr>
        <w:t>2. End-to-end navigation flow</w:t>
      </w:r>
    </w:p>
    <w:p>
      <w:pPr>
        <w:pStyle w:val="ListBullet"/>
      </w:pPr>
      <w:r>
        <w:rPr>
          <w:b/>
        </w:rPr>
        <w:t>List → detail:</w:t>
      </w:r>
      <w:r>
        <w:t xml:space="preserve"> click a row → </w:t>
      </w:r>
      <w:r>
        <w:rPr>
          <w:rFonts w:ascii="Consolas" w:hAnsi="Consolas"/>
          <w:sz w:val="19"/>
        </w:rPr>
        <w:t>?id=&amp;tab=overview</w:t>
      </w:r>
      <w:r>
        <w:t xml:space="preserve">; the detail bundle lazy-loads; tabs switch via </w:t>
      </w:r>
      <w:r>
        <w:rPr>
          <w:rFonts w:ascii="Consolas" w:hAnsi="Consolas"/>
          <w:sz w:val="19"/>
        </w:rPr>
        <w:t>?tab=</w:t>
      </w:r>
      <w:r>
        <w:t xml:space="preserve"> (back/forward works).</w:t>
      </w:r>
    </w:p>
    <w:p>
      <w:pPr>
        <w:pStyle w:val="ListBullet"/>
      </w:pPr>
      <w:r>
        <w:rPr>
          <w:b/>
        </w:rPr>
        <w:t>Search / filter / paginate:</w:t>
      </w:r>
      <w:r>
        <w:t xml:space="preserve"> each updates the URL → the server re-queries the </w:t>
      </w:r>
      <w:r>
        <w:rPr>
          <w:b/>
        </w:rPr>
        <w:t>whole table</w:t>
      </w:r>
      <w:r>
        <w:t xml:space="preserve">; the </w:t>
      </w:r>
      <w:r>
        <w:rPr>
          <w:rFonts w:ascii="Consolas" w:hAnsi="Consolas"/>
          <w:sz w:val="19"/>
        </w:rPr>
        <w:t>?id=&amp;tab=</w:t>
      </w:r>
      <w:r>
        <w:t xml:space="preserve"> selection is preserved.</w:t>
      </w:r>
    </w:p>
    <w:p>
      <w:pPr>
        <w:pStyle w:val="ListBullet"/>
      </w:pPr>
      <w:r>
        <w:rPr>
          <w:b/>
        </w:rPr>
        <w:t>Create:</w:t>
      </w:r>
      <w:r>
        <w:t xml:space="preserve"> </w:t>
      </w:r>
      <w:r>
        <w:rPr>
          <w:b/>
        </w:rPr>
        <w:t>+ New</w:t>
      </w:r>
      <w:r>
        <w:t xml:space="preserve"> → </w:t>
      </w:r>
      <w:r>
        <w:rPr>
          <w:rFonts w:ascii="Consolas" w:hAnsi="Consolas"/>
          <w:sz w:val="19"/>
        </w:rPr>
        <w:t>CustomerForm</w:t>
      </w:r>
      <w:r>
        <w:t xml:space="preserve"> (create) in the center → save refreshes the list.</w:t>
      </w:r>
    </w:p>
    <w:p>
      <w:pPr>
        <w:pStyle w:val="ListBullet"/>
      </w:pPr>
      <w:r>
        <w:rPr>
          <w:b/>
        </w:rPr>
        <w:t>Import:</w:t>
      </w:r>
      <w:r>
        <w:t xml:space="preserve"> </w:t>
      </w:r>
      <w:r>
        <w:rPr>
          <w:b/>
        </w:rPr>
        <w:t>Import</w:t>
      </w:r>
      <w:r>
        <w:t xml:space="preserve"> → existing CSV dialog → refresh.</w:t>
      </w:r>
    </w:p>
    <w:p>
      <w:pPr>
        <w:pStyle w:val="ListBullet"/>
      </w:pPr>
      <w:r>
        <w:rPr>
          <w:b/>
        </w:rPr>
        <w:t>Deep links:</w:t>
      </w:r>
      <w:r>
        <w:t xml:space="preserve"> </w:t>
      </w:r>
      <w:r>
        <w:rPr>
          <w:rFonts w:ascii="Consolas" w:hAnsi="Consolas"/>
          <w:sz w:val="19"/>
        </w:rPr>
        <w:t>/customers/[id]</w:t>
      </w:r>
      <w:r>
        <w:t xml:space="preserve"> and </w:t>
      </w:r>
      <w:r>
        <w:rPr>
          <w:rFonts w:ascii="Consolas" w:hAnsi="Consolas"/>
          <w:sz w:val="19"/>
        </w:rPr>
        <w:t>/customers/[id]/360</w:t>
      </w:r>
      <w:r>
        <w:t xml:space="preserve"> redirect into the workbench (Statement / Activity facets). A bookmarked id resolves even if it is not on the current list page — the page fetches the selected record directly.</w:t>
      </w:r>
    </w:p>
    <w:p>
      <w:pPr>
        <w:pStyle w:val="Heading2"/>
      </w:pPr>
      <w:r>
        <w:rPr>
          <w:color w:val="1F497D"/>
        </w:rPr>
        <w:t>3. Final gap-matrix — no functional reduction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Capability (old)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New home</w:t>
            </w:r>
          </w:p>
        </w:tc>
      </w:tr>
      <w:tr>
        <w:tc>
          <w:tcPr>
            <w:tcW w:type="dxa" w:w="4320"/>
          </w:tcPr>
          <w:p>
            <w:r>
              <w:t>Server search + 3 filters + pagination</w:t>
            </w:r>
          </w:p>
        </w:tc>
        <w:tc>
          <w:tcPr>
            <w:tcW w:type="dxa" w:w="4320"/>
          </w:tcPr>
          <w:p>
            <w:r>
              <w:t>Workbench list panel (server-driven)</w:t>
            </w:r>
          </w:p>
        </w:tc>
      </w:tr>
      <w:tr>
        <w:tc>
          <w:tcPr>
            <w:tcW w:type="dxa" w:w="4320"/>
          </w:tcPr>
          <w:p>
            <w:r>
              <w:t>New customer (form + custom fields + attachments)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 New</w:t>
            </w:r>
            <w:r>
              <w:t xml:space="preserve"> → </w:t>
            </w:r>
            <w:r>
              <w:rPr>
                <w:rFonts w:ascii="Consolas" w:hAnsi="Consolas"/>
                <w:sz w:val="19"/>
              </w:rPr>
              <w:t>CustomerForm</w:t>
            </w:r>
          </w:p>
        </w:tc>
      </w:tr>
      <w:tr>
        <w:tc>
          <w:tcPr>
            <w:tcW w:type="dxa" w:w="4320"/>
          </w:tcPr>
          <w:p>
            <w:r>
              <w:t>Import CSV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Import</w:t>
            </w:r>
            <w:r>
              <w:t xml:space="preserve"> → extracted </w:t>
            </w:r>
            <w:r>
              <w:rPr>
                <w:rFonts w:ascii="Consolas" w:hAnsi="Consolas"/>
                <w:sz w:val="19"/>
              </w:rPr>
              <w:t>ImportDialog</w:t>
            </w:r>
          </w:p>
        </w:tc>
      </w:tr>
      <w:tr>
        <w:tc>
          <w:tcPr>
            <w:tcW w:type="dxa" w:w="4320"/>
          </w:tcPr>
          <w:p>
            <w:r>
              <w:t>Edit</w:t>
            </w:r>
          </w:p>
        </w:tc>
        <w:tc>
          <w:tcPr>
            <w:tcW w:type="dxa" w:w="4320"/>
          </w:tcPr>
          <w:p>
            <w:r>
              <w:t>Profile tab</w:t>
            </w:r>
          </w:p>
        </w:tc>
      </w:tr>
      <w:tr>
        <w:tc>
          <w:tcPr>
            <w:tcW w:type="dxa" w:w="4320"/>
          </w:tcPr>
          <w:p>
            <w:r>
              <w:t>Activate / Deactivate · Approve / Reject</w:t>
            </w:r>
          </w:p>
        </w:tc>
        <w:tc>
          <w:tcPr>
            <w:tcW w:type="dxa" w:w="4320"/>
          </w:tcPr>
          <w:p>
            <w:r>
              <w:t>EntityActionBar (same actions)</w:t>
            </w:r>
          </w:p>
        </w:tc>
      </w:tr>
      <w:tr>
        <w:tc>
          <w:tcPr>
            <w:tcW w:type="dxa" w:w="4320"/>
          </w:tcPr>
          <w:p>
            <w:r>
              <w:t>Statement (aging / invoices / ledger) + Notes</w:t>
            </w:r>
          </w:p>
        </w:tc>
        <w:tc>
          <w:tcPr>
            <w:tcW w:type="dxa" w:w="4320"/>
          </w:tcPr>
          <w:p>
            <w:r>
              <w:t>Statement tab</w:t>
            </w:r>
          </w:p>
        </w:tc>
      </w:tr>
      <w:tr>
        <w:tc>
          <w:tcPr>
            <w:tcW w:type="dxa" w:w="4320"/>
          </w:tcPr>
          <w:p>
            <w:r>
              <w:t>Status-reason context</w:t>
            </w:r>
          </w:p>
        </w:tc>
        <w:tc>
          <w:tcPr>
            <w:tcW w:type="dxa" w:w="4320"/>
          </w:tcPr>
          <w:p>
            <w:r>
              <w:t>Statement tab</w:t>
            </w:r>
          </w:p>
        </w:tc>
      </w:tr>
      <w:tr>
        <w:tc>
          <w:tcPr>
            <w:tcW w:type="dxa" w:w="4320"/>
          </w:tcPr>
          <w:p>
            <w:r>
              <w:t>WhatsApp reminder (balance &gt; 0)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Carried into</w:t>
            </w:r>
            <w:r>
              <w:t xml:space="preserve"> Statement tab</w:t>
            </w:r>
          </w:p>
        </w:tc>
      </w:tr>
      <w:tr>
        <w:tc>
          <w:tcPr>
            <w:tcW w:type="dxa" w:w="4320"/>
          </w:tcPr>
          <w:p>
            <w:r>
              <w:t>FMCG credit-request (</w:t>
            </w:r>
            <w:r>
              <w:rPr>
                <w:rFonts w:ascii="Consolas" w:hAnsi="Consolas"/>
                <w:sz w:val="19"/>
              </w:rPr>
              <w:t>credit.request.create</w:t>
            </w:r>
            <w: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Carried into</w:t>
            </w:r>
            <w:r>
              <w:t xml:space="preserve"> Statement tab</w:t>
            </w:r>
          </w:p>
        </w:tc>
      </w:tr>
      <w:tr>
        <w:tc>
          <w:tcPr>
            <w:tcW w:type="dxa" w:w="4320"/>
          </w:tcPr>
          <w:p>
            <w:r>
              <w:t>360 timeline (now richer: + requests + visits)</w:t>
            </w:r>
          </w:p>
        </w:tc>
        <w:tc>
          <w:tcPr>
            <w:tcW w:type="dxa" w:w="4320"/>
          </w:tcPr>
          <w:p>
            <w:r>
              <w:t>Activity tab</w:t>
            </w:r>
          </w:p>
        </w:tc>
      </w:tr>
      <w:tr>
        <w:tc>
          <w:tcPr>
            <w:tcW w:type="dxa" w:w="4320"/>
          </w:tcPr>
          <w:p>
            <w:r>
              <w:t>Credit-limit / GPS / request-approval</w:t>
            </w:r>
          </w:p>
        </w:tc>
        <w:tc>
          <w:tcPr>
            <w:tcW w:type="dxa" w:w="4320"/>
          </w:tcPr>
          <w:p>
            <w:r>
              <w:t>Profile tab sub-forms</w:t>
            </w:r>
          </w:p>
        </w:tc>
      </w:tr>
      <w:tr>
        <w:tc>
          <w:tcPr>
            <w:tcW w:type="dxa" w:w="4320"/>
          </w:tcPr>
          <w:p>
            <w:r>
              <w:t>Transfer · Print</w:t>
            </w:r>
          </w:p>
        </w:tc>
        <w:tc>
          <w:tcPr>
            <w:tcW w:type="dxa" w:w="4320"/>
          </w:tcPr>
          <w:p>
            <w:r>
              <w:t>EntityActionBar</w:t>
            </w:r>
          </w:p>
        </w:tc>
      </w:tr>
      <w:tr>
        <w:tc>
          <w:tcPr>
            <w:tcW w:type="dxa" w:w="4320"/>
          </w:tcPr>
          <w:p>
            <w:r>
              <w:t>Receivable total</w:t>
            </w:r>
          </w:p>
        </w:tc>
        <w:tc>
          <w:tcPr>
            <w:tcW w:type="dxa" w:w="4320"/>
          </w:tcPr>
          <w:p>
            <w:r>
              <w:t>List panel badge</w:t>
            </w:r>
          </w:p>
        </w:tc>
      </w:tr>
      <w:tr>
        <w:tc>
          <w:tcPr>
            <w:tcW w:type="dxa" w:w="4320"/>
          </w:tcPr>
          <w:p>
            <w:r>
              <w:t xml:space="preserve">Deep links to </w:t>
            </w:r>
            <w:r>
              <w:rPr>
                <w:rFonts w:ascii="Consolas" w:hAnsi="Consolas"/>
                <w:sz w:val="19"/>
              </w:rPr>
              <w:t>[id]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[id]/360</w:t>
            </w:r>
          </w:p>
        </w:tc>
        <w:tc>
          <w:tcPr>
            <w:tcW w:type="dxa" w:w="4320"/>
          </w:tcPr>
          <w:p>
            <w:r>
              <w:t>Redirects</w:t>
            </w:r>
          </w:p>
        </w:tc>
      </w:tr>
    </w:tbl>
    <w:p/>
    <w:p>
      <w:pPr>
        <w:pStyle w:val="Heading2"/>
      </w:pPr>
      <w:r>
        <w:rPr>
          <w:color w:val="1F497D"/>
        </w:rPr>
        <w:t>4. Performance observations</w:t>
      </w:r>
    </w:p>
    <w:p>
      <w:pPr>
        <w:pStyle w:val="ListBullet"/>
      </w:pPr>
      <w:r>
        <w:t xml:space="preserve">Route weight shifted as designed: </w:t>
      </w:r>
      <w:r>
        <w:rPr>
          <w:rFonts w:ascii="Consolas" w:hAnsi="Consolas"/>
          <w:sz w:val="19"/>
        </w:rPr>
        <w:t>/customers</w:t>
      </w:r>
      <w:r>
        <w:t xml:space="preserve"> 12.6 -&gt; </w:t>
      </w:r>
      <w:r>
        <w:rPr>
          <w:b/>
        </w:rPr>
        <w:t>22.4 kB</w:t>
      </w:r>
      <w:r>
        <w:t xml:space="preserve"> (full 3-panel workbench); </w:t>
      </w:r>
      <w:r>
        <w:rPr>
          <w:rFonts w:ascii="Consolas" w:hAnsi="Consolas"/>
          <w:sz w:val="19"/>
        </w:rPr>
        <w:t>/customers/[id]</w:t>
      </w:r>
      <w:r>
        <w:t xml:space="preserve"> 5.67 kB -&gt; </w:t>
      </w:r>
      <w:r>
        <w:rPr>
          <w:b/>
        </w:rPr>
        <w:t>523 B</w:t>
      </w:r>
      <w:r>
        <w:t xml:space="preserve"> and </w:t>
      </w:r>
      <w:r>
        <w:rPr>
          <w:rFonts w:ascii="Consolas" w:hAnsi="Consolas"/>
          <w:sz w:val="19"/>
        </w:rPr>
        <w:t>/[id]/360</w:t>
      </w:r>
      <w:r>
        <w:t xml:space="preserve"> 1.79 kB -&gt; </w:t>
      </w:r>
      <w:r>
        <w:rPr>
          <w:b/>
        </w:rPr>
        <w:t>522 B</w:t>
      </w:r>
      <w:r>
        <w:t xml:space="preserve"> (now redirect stubs).</w:t>
      </w:r>
    </w:p>
    <w:p>
      <w:pPr>
        <w:pStyle w:val="ListBullet"/>
      </w:pPr>
      <w:r>
        <w:t xml:space="preserve">The detail bundle is </w:t>
      </w:r>
      <w:r>
        <w:rPr>
          <w:b/>
        </w:rPr>
        <w:t>lazy-loaded per selection</w:t>
      </w:r>
      <w:r>
        <w:t xml:space="preserve"> (not in the list payload) and </w:t>
      </w:r>
      <w:r>
        <w:rPr>
          <w:b/>
        </w:rPr>
        <w:t>cached in client state</w:t>
      </w:r>
      <w:r>
        <w:t xml:space="preserve"> — list search / filter / paginate do </w:t>
      </w:r>
      <w:r>
        <w:rPr>
          <w:b/>
        </w:rPr>
        <w:t>not</w:t>
      </w:r>
      <w:r>
        <w:t xml:space="preserve"> refetch it (selection unchanged), so list interaction stays cheap.</w:t>
      </w:r>
    </w:p>
    <w:p>
      <w:pPr>
        <w:pStyle w:val="ListBullet"/>
      </w:pPr>
      <w:r>
        <w:t xml:space="preserve">The list + support queries run in </w:t>
      </w:r>
      <w:r>
        <w:rPr>
          <w:b/>
        </w:rPr>
        <w:t>one `Promise.all`</w:t>
      </w:r>
      <w:r>
        <w:t xml:space="preserve"> (+1 for the deep-linked record, only when </w:t>
      </w:r>
      <w:r>
        <w:rPr>
          <w:rFonts w:ascii="Consolas" w:hAnsi="Consolas"/>
          <w:sz w:val="19"/>
        </w:rPr>
        <w:t>?id</w:t>
      </w:r>
      <w:r>
        <w:t xml:space="preserve"> is present).</w:t>
      </w:r>
    </w:p>
    <w:p>
      <w:pPr>
        <w:pStyle w:val="Heading2"/>
      </w:pPr>
      <w:r>
        <w:rPr>
          <w:color w:val="1F497D"/>
        </w:rPr>
        <w:t>5. Mobile behavior</w:t>
      </w:r>
    </w:p>
    <w:p>
      <w:r>
        <w:t xml:space="preserve">Below </w:t>
      </w:r>
      <w:r>
        <w:rPr>
          <w:rFonts w:ascii="Consolas" w:hAnsi="Consolas"/>
          <w:sz w:val="19"/>
        </w:rPr>
        <w:t>xl</w:t>
      </w:r>
      <w:r>
        <w:t xml:space="preserve">: Customer 360 is </w:t>
      </w:r>
      <w:r>
        <w:rPr>
          <w:b/>
        </w:rPr>
        <w:t>full-width</w:t>
      </w:r>
      <w:r>
        <w:t xml:space="preserve">, the context panel collapses to the </w:t>
      </w:r>
      <w:r>
        <w:rPr>
          <w:b/>
        </w:rPr>
        <w:t>Info drawer</w:t>
      </w:r>
      <w:r>
        <w:t xml:space="preserve"> (one tap), dense tabs are full-bleed, and the list stacks above — identical responsive contract to the other workbenches.</w:t>
      </w:r>
    </w:p>
    <w:p>
      <w:pPr>
        <w:pStyle w:val="Heading2"/>
      </w:pPr>
      <w:r>
        <w:rPr>
          <w:color w:val="1F497D"/>
        </w:rPr>
        <w:t>6. Preview captures</w:t>
      </w:r>
    </w:p>
    <w:p>
      <w:pPr>
        <w:ind w:left="240"/>
      </w:pPr>
      <w:r>
        <w:rPr>
          <w:rFonts w:ascii="Consolas" w:hAnsi="Consolas"/>
          <w:sz w:val="18"/>
        </w:rPr>
        <w:t>/customers?id=&lt;cid&gt;&amp;tab=overview          (wide layout · context shown)</w:t>
        <w:br/>
        <w:t>+-256px------+-------- Customer 360 (focus) --------+-300px context-+</w:t>
        <w:br/>
        <w:t>| [+ New][I] |  o Acme Trading  [Active]  actions   | Summary       |</w:t>
        <w:br/>
        <w:t>| receivable |  Overview/Profile/Statement/Activity | balance ...   |</w:t>
        <w:br/>
        <w:t>| search     |  /Related/Audit                      | credit ...    |</w:t>
        <w:br/>
        <w:t>| segment v  |  [ balance ][ credit ][ overdue ]    | status [v]    |</w:t>
        <w:br/>
        <w:t>| &gt; Acme [v] |  identity / quick-actions            | Related chips |</w:t>
        <w:br/>
        <w:t>| &lt; 1/8 &gt;    |                                      |               |</w:t>
        <w:br/>
        <w:t>+------------+--------------------------------------+---------------+</w:t>
        <w:br/>
        <w:br/>
        <w:t>/customers?id=&lt;cid&gt;&amp;tab=statement         (dense tab · rail dropped -&gt; full width)</w:t>
        <w:br/>
        <w:t>+-256px------+----------- Customer 360 — Statement (full) -----------+</w:t>
        <w:br/>
        <w:t>| list/search|  status context · [WhatsApp] [Credit request]         |</w:t>
        <w:br/>
        <w:t>| &gt; Acme [v] |  summary · aging · open invoices · ledger · notes     |</w:t>
        <w:br/>
        <w:t>+------------+-------------------------------------------------------+</w:t>
      </w:r>
    </w:p>
    <w:p>
      <w:pPr>
        <w:pStyle w:val="Heading2"/>
      </w:pPr>
      <w:r>
        <w:rPr>
          <w:color w:val="1F497D"/>
        </w:rPr>
        <w:t>7. Validation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tsc --noEmit</w:t>
            </w:r>
          </w:p>
        </w:tc>
        <w:tc>
          <w:tcPr>
            <w:tcW w:type="dxa" w:w="4320"/>
          </w:tcPr>
          <w:p>
            <w: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vitest run</w:t>
            </w:r>
          </w:p>
        </w:tc>
        <w:tc>
          <w:tcPr>
            <w:tcW w:type="dxa" w:w="4320"/>
          </w:tcPr>
          <w:p>
            <w:r>
              <w:t>1601 passed / 192 skipped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next build</w:t>
            </w:r>
          </w:p>
        </w:tc>
        <w:tc>
          <w:tcPr>
            <w:tcW w:type="dxa" w:w="4320"/>
          </w:tcPr>
          <w:p>
            <w:r>
              <w:t>compiled successfully (63s); routes as above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no business-logic / permission / RLS / workflow change</w:t>
            </w:r>
          </w:p>
        </w:tc>
      </w:tr>
    </w:tbl>
    <w:p/>
    <w:p>
      <w:pPr>
        <w:pStyle w:val="Heading2"/>
      </w:pPr>
      <w:r>
        <w:rPr>
          <w:color w:val="1F497D"/>
        </w:rPr>
        <w:t>8. Status</w:t>
      </w:r>
    </w:p>
    <w:p>
      <w:r>
        <w:rPr>
          <w:b/>
        </w:rPr>
        <w:t>P5-4 complete.</w:t>
      </w:r>
      <w:r>
        <w:t xml:space="preserve"> The Customer Workbench (P5-1 -&gt; P5-4) is fully delivered and live on </w:t>
      </w:r>
      <w:r>
        <w:rPr>
          <w:rFonts w:ascii="Consolas" w:hAnsi="Consolas"/>
          <w:sz w:val="19"/>
        </w:rPr>
        <w:t>/customers</w:t>
      </w:r>
      <w:r>
        <w:t xml:space="preserve">. Recommended next step: the </w:t>
      </w:r>
      <w:r>
        <w:rPr>
          <w:b/>
        </w:rPr>
        <w:t>Customer Workbench Completion Review</w:t>
      </w:r>
      <w:r>
        <w:t xml:space="preserve"> before the next major workstream.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