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Platform Navigation Cleanup — P1-P4 UX Review &amp; Updated Navigation Map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Platform Navigation Cleanup — P1–P4 UX Review &amp; Updated Navigation Map</w:t>
      </w:r>
    </w:p>
    <w:p>
      <w:r>
        <w:rPr>
          <w:b/>
        </w:rPr>
        <w:t>Branch:</w:t>
      </w:r>
      <w:r>
        <w:t xml:space="preserve"> </w:t>
      </w:r>
      <w:r>
        <w:rPr>
          <w:rFonts w:ascii="Consolas" w:hAnsi="Consolas"/>
          <w:sz w:val="19"/>
        </w:rPr>
        <w:t>claude/pilot-ux</w:t>
      </w:r>
      <w:r>
        <w:t xml:space="preserve"> · </w:t>
      </w:r>
      <w:r>
        <w:rPr>
          <w:b/>
        </w:rPr>
        <w:t>PR:</w:t>
      </w:r>
      <w:r>
        <w:t xml:space="preserve"> #319 · </w:t>
      </w:r>
      <w:r>
        <w:rPr>
          <w:b/>
        </w:rPr>
        <w:t>Commit:</w:t>
      </w:r>
      <w:r>
        <w:t xml:space="preserve"> </w:t>
      </w:r>
      <w:r>
        <w:rPr>
          <w:rFonts w:ascii="Consolas" w:hAnsi="Consolas"/>
          <w:sz w:val="19"/>
        </w:rPr>
        <w:t>4e57585</w:t>
      </w:r>
      <w:r>
        <w:t xml:space="preserve"> · </w:t>
      </w:r>
      <w:r>
        <w:rPr>
          <w:b/>
        </w:rPr>
        <w:t>Date:</w:t>
      </w:r>
      <w:r>
        <w:t xml:space="preserve"> 2026-06-18</w:t>
      </w:r>
    </w:p>
    <w:p>
      <w:r>
        <w:t xml:space="preserve">Implements approved </w:t>
      </w:r>
      <w:r>
        <w:rPr>
          <w:b/>
        </w:rPr>
        <w:t>P1 (label cleanup), P2 (CRM umbrella), P3 (container rule), P4 (group Sales &amp; Distribution).</w:t>
      </w:r>
      <w:r>
        <w:t xml:space="preserve"> Constraints held: no business-logic, permission, RLS, or workflow change; </w:t>
      </w:r>
      <w:r>
        <w:rPr>
          <w:b/>
        </w:rPr>
        <w:t>no new CRM features</w:t>
      </w:r>
      <w:r>
        <w:t xml:space="preserve"> (umbrella surfaces existing pages only). Gate: </w:t>
      </w:r>
      <w:r>
        <w:rPr>
          <w:b/>
        </w:rPr>
        <w:t>tsc clean · 1592 tests passed · build green.</w:t>
      </w:r>
    </w:p>
    <w:p>
      <w:pPr>
        <w:pStyle w:val="Heading2"/>
      </w:pPr>
      <w:r>
        <w:rPr>
          <w:color w:val="1F497D"/>
        </w:rPr>
        <w:t>1. What shipped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Nature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P1</w:t>
            </w:r>
          </w:p>
        </w:tc>
        <w:tc>
          <w:tcPr>
            <w:tcW w:type="dxa" w:w="2880"/>
          </w:tcPr>
          <w:p>
            <w:r>
              <w:t xml:space="preserve">4 shared label keys split: </w:t>
            </w:r>
            <w:r>
              <w:rPr>
                <w:rFonts w:ascii="Consolas" w:hAnsi="Consolas"/>
                <w:sz w:val="19"/>
              </w:rPr>
              <w:t>pharmacyExpiry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distributionDailySummary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salonAppointments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salonServices</w:t>
            </w:r>
          </w:p>
        </w:tc>
        <w:tc>
          <w:tcPr>
            <w:tcW w:type="dxa" w:w="2880"/>
          </w:tcPr>
          <w:p>
            <w:r>
              <w:t>Labels only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P2</w:t>
            </w:r>
          </w:p>
        </w:tc>
        <w:tc>
          <w:tcPr>
            <w:tcW w:type="dxa" w:w="2880"/>
          </w:tcPr>
          <w:p>
            <w:r>
              <w:t xml:space="preserve">New </w:t>
            </w:r>
            <w:r>
              <w:rPr>
                <w:b/>
              </w:rPr>
              <w:t>CRM</w:t>
            </w:r>
            <w:r>
              <w:t xml:space="preserve"> section — canonical entry point surfacing existing pages</w:t>
            </w:r>
          </w:p>
        </w:tc>
        <w:tc>
          <w:tcPr>
            <w:tcW w:type="dxa" w:w="2880"/>
          </w:tcPr>
          <w:p>
            <w:r>
              <w:t>Nav reorg, reuse-only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P3</w:t>
            </w:r>
          </w:p>
        </w:tc>
        <w:tc>
          <w:tcPr>
            <w:tcW w:type="dxa" w:w="2880"/>
          </w:tcPr>
          <w:p>
            <w:r>
              <w:t>Admin container decision rule (</w:t>
            </w:r>
            <w:r>
              <w:rPr>
                <w:rFonts w:ascii="Consolas" w:hAnsi="Consolas"/>
                <w:sz w:val="19"/>
              </w:rPr>
              <w:t>src/components/admin/README.md</w:t>
            </w:r>
            <w:r>
              <w:t>)</w:t>
            </w:r>
          </w:p>
        </w:tc>
        <w:tc>
          <w:tcPr>
            <w:tcW w:type="dxa" w:w="2880"/>
          </w:tcPr>
          <w:p>
            <w:r>
              <w:t>Doc/governance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P4</w:t>
            </w:r>
          </w:p>
        </w:tc>
        <w:tc>
          <w:tcPr>
            <w:tcW w:type="dxa" w:w="2880"/>
          </w:tcPr>
          <w:p>
            <w:r>
              <w:t>Sales &amp; Distribution re-grouped into rail subsections</w:t>
            </w:r>
          </w:p>
        </w:tc>
        <w:tc>
          <w:tcPr>
            <w:tcW w:type="dxa" w:w="2880"/>
          </w:tcPr>
          <w:p>
            <w:r>
              <w:t>Grouping/reorder</w:t>
            </w:r>
          </w:p>
        </w:tc>
      </w:tr>
    </w:tbl>
    <w:p/>
    <w:p>
      <w:pPr>
        <w:pStyle w:val="Heading2"/>
      </w:pPr>
      <w:r>
        <w:rPr>
          <w:color w:val="1F497D"/>
        </w:rPr>
        <w:t>2. CRM umbrella (P2) — visibility-preserving relocation</w:t>
      </w:r>
    </w:p>
    <w:p>
      <w:r>
        <w:t xml:space="preserve">The CRM section is the </w:t>
      </w:r>
      <w:r>
        <w:rPr>
          <w:b/>
        </w:rPr>
        <w:t>canonical CRM entry point</w:t>
      </w:r>
      <w:r>
        <w:t xml:space="preserve">; it *surfaces existing pages*, adds no new pages/features. Five items were relocated </w:t>
      </w:r>
      <w:r>
        <w:rPr>
          <w:b/>
        </w:rPr>
        <w:t>verbatim</w:t>
      </w:r>
      <w:r>
        <w:t xml:space="preserve"> out of Sales/Distribution: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Page (unchanged)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From</w:t>
            </w:r>
          </w:p>
        </w:tc>
      </w:tr>
      <w:tr>
        <w:tc>
          <w:tcPr>
            <w:tcW w:type="dxa" w:w="2880"/>
          </w:tcPr>
          <w:p>
            <w:r>
              <w:t>Customers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/customers</w:t>
            </w:r>
          </w:p>
        </w:tc>
        <w:tc>
          <w:tcPr>
            <w:tcW w:type="dxa" w:w="2880"/>
          </w:tcPr>
          <w:p>
            <w:r>
              <w:t>Sales</w:t>
            </w:r>
          </w:p>
        </w:tc>
      </w:tr>
      <w:tr>
        <w:tc>
          <w:tcPr>
            <w:tcW w:type="dxa" w:w="2880"/>
          </w:tcPr>
          <w:p>
            <w:r>
              <w:t>Customer Transfer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/customers/transfer</w:t>
            </w:r>
          </w:p>
        </w:tc>
        <w:tc>
          <w:tcPr>
            <w:tcW w:type="dxa" w:w="2880"/>
          </w:tcPr>
          <w:p>
            <w:r>
              <w:t>Sales</w:t>
            </w:r>
          </w:p>
        </w:tc>
      </w:tr>
      <w:tr>
        <w:tc>
          <w:tcPr>
            <w:tcW w:type="dxa" w:w="2880"/>
          </w:tcPr>
          <w:p>
            <w:r>
              <w:t>Customer Requests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/field/van-sales/requests</w:t>
            </w:r>
          </w:p>
        </w:tc>
        <w:tc>
          <w:tcPr>
            <w:tcW w:type="dxa" w:w="2880"/>
          </w:tcPr>
          <w:p>
            <w:r>
              <w:t>Sales</w:t>
            </w:r>
          </w:p>
        </w:tc>
      </w:tr>
      <w:tr>
        <w:tc>
          <w:tcPr>
            <w:tcW w:type="dxa" w:w="2880"/>
          </w:tcPr>
          <w:p>
            <w:r>
              <w:t>Credit Requests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/distribution/credit-requests</w:t>
            </w:r>
          </w:p>
        </w:tc>
        <w:tc>
          <w:tcPr>
            <w:tcW w:type="dxa" w:w="2880"/>
          </w:tcPr>
          <w:p>
            <w:r>
              <w:t>Distribution</w:t>
            </w:r>
          </w:p>
        </w:tc>
      </w:tr>
      <w:tr>
        <w:tc>
          <w:tcPr>
            <w:tcW w:type="dxa" w:w="2880"/>
          </w:tcPr>
          <w:p>
            <w:r>
              <w:t>Visit Outcomes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/distribution/visit-outcomes</w:t>
            </w:r>
          </w:p>
        </w:tc>
        <w:tc>
          <w:tcPr>
            <w:tcW w:type="dxa" w:w="2880"/>
          </w:tcPr>
          <w:p>
            <w:r>
              <w:t>Distribution</w:t>
            </w:r>
          </w:p>
        </w:tc>
      </w:tr>
    </w:tbl>
    <w:p/>
    <w:p>
      <w:r>
        <w:rPr>
          <w:b/>
        </w:rPr>
        <w:t>Why visibility is identical:</w:t>
      </w:r>
      <w:r>
        <w:t xml:space="preserve"> each item keeps its exact </w:t>
      </w:r>
      <w:r>
        <w:rPr>
          <w:rFonts w:ascii="Consolas" w:hAnsi="Consolas"/>
          <w:sz w:val="19"/>
        </w:rPr>
        <w:t>perm</w:t>
      </w:r>
      <w:r>
        <w:t>/</w:t>
      </w:r>
      <w:r>
        <w:rPr>
          <w:rFonts w:ascii="Consolas" w:hAnsi="Consolas"/>
          <w:sz w:val="19"/>
        </w:rPr>
        <w:t>flag</w:t>
      </w:r>
      <w:r>
        <w:t xml:space="preserve"> and now carries an </w:t>
      </w:r>
      <w:r>
        <w:rPr>
          <w:b/>
        </w:rPr>
        <w:t>explicit `module` gate equal to its prior section context</w:t>
      </w:r>
      <w:r>
        <w:t xml:space="preserve">; the CRM section gate is the </w:t>
      </w:r>
      <w:r>
        <w:rPr>
          <w:b/>
        </w:rPr>
        <w:t>ANY-of UNION</w:t>
      </w:r>
      <w:r>
        <w:t xml:space="preserve"> of those module sets. Since each item's module set ⊆ the union, the section can never hide an item its own gate would show — so effective visibility = </w:t>
      </w:r>
      <w:r>
        <w:rPr>
          <w:rFonts w:ascii="Consolas" w:hAnsi="Consolas"/>
          <w:sz w:val="19"/>
        </w:rPr>
        <w:t>item.module ∧ perm ∧ flag</w:t>
      </w:r>
      <w:r>
        <w:t>, byte-identical to the inherited-section behaviour before. Validated by the full suite (incl. route-coverage + gating invariants).</w:t>
      </w:r>
    </w:p>
    <w:p>
      <w:pPr>
        <w:pStyle w:val="Heading2"/>
      </w:pPr>
      <w:r>
        <w:rPr>
          <w:color w:val="1F497D"/>
        </w:rPr>
        <w:t>3. Updated navigation map (rail)</w:t>
      </w:r>
    </w:p>
    <w:p>
      <w:pPr>
        <w:ind w:left="240"/>
      </w:pPr>
      <w:r>
        <w:rPr>
          <w:rFonts w:ascii="Consolas" w:hAnsi="Consolas"/>
          <w:sz w:val="18"/>
        </w:rPr>
        <w:t>PLATFORM (provider)                 [unchanged: Overview · Tenants · Catalog · Billing · Team · Reference]</w:t>
        <w:br/>
        <w:br/>
        <w:t>MAIN                                [unchanged]</w:t>
        <w:br/>
        <w:br/>
        <w:t>★ CRM   (new — canonical entry point; module: crm/sales/field_ops/distribution …)</w:t>
        <w:br/>
        <w:t xml:space="preserve">  • Customers</w:t>
        <w:br/>
        <w:t xml:space="preserve">  • Customer Transfer</w:t>
        <w:br/>
        <w:t xml:space="preserve">  • Customer Requests</w:t>
        <w:br/>
        <w:t xml:space="preserve">  • Credit Requests</w:t>
        <w:br/>
        <w:t xml:space="preserve">  • Visit Outcomes</w:t>
        <w:br/>
        <w:br/>
        <w:t>SALES   (was 28 flat → grouped; CRM items removed)</w:t>
        <w:br/>
        <w:t xml:space="preserve">  ── Selling</w:t>
        <w:br/>
        <w:t xml:space="preserve">     Quick Sale · Sales Orders · Invoices · Collections · Cash Box · Pricing · Price Book · Sales Returns</w:t>
        <w:br/>
        <w:t xml:space="preserve">  ── Field / Van Sales</w:t>
        <w:br/>
        <w:t xml:space="preserve">     Rep App · Settlement · Journey · Today’s Journey · Offline · My Returns · Return Approvals ·</w:t>
        <w:br/>
        <w:t xml:space="preserve">     Day-Close Approvals · Day-Close Settlement · Override Center · Statement · Daily Summary · Cash Custody</w:t>
        <w:br/>
        <w:t xml:space="preserve">  ── Reports</w:t>
        <w:br/>
        <w:t xml:space="preserve">     Sales Report · Return Report · Day-Close Report · Override History</w:t>
        <w:br/>
        <w:br/>
        <w:t>DISTRIBUTION   (was 24 flat → grouped; CRM items removed)</w:t>
        <w:br/>
        <w:t xml:space="preserve">  ── Execution</w:t>
        <w:br/>
        <w:t xml:space="preserve">     Routes · Van Accounting · Field Sync · Suggested Load · Journey Compliance · Trade Spend</w:t>
        <w:br/>
        <w:t xml:space="preserve">  ── Coverage &amp; Assortment</w:t>
        <w:br/>
        <w:t xml:space="preserve">     Coverage · Assortment · MSL Compliance · OOS · Territory Intel · Retail Cockpit</w:t>
        <w:br/>
        <w:t xml:space="preserve">  ── Perfect Store</w:t>
        <w:br/>
        <w:t xml:space="preserve">     Perfect Store Scores · Perfect Store · Outlet Grading</w:t>
        <w:br/>
        <w:t xml:space="preserve">  ── Reports</w:t>
        <w:br/>
        <w:t xml:space="preserve">     Distribution Report · Distribution Dashboard · Daily Distribution Summary · Returns Analysis ·</w:t>
        <w:br/>
        <w:t xml:space="preserve">     Targets · Targets Achievement · Sales Summary</w:t>
        <w:br/>
        <w:br/>
        <w:t>INVENTORY · PURCHASING · ACCOUNTING · (verticals)   [unchanged]</w:t>
        <w:br/>
        <w:br/>
        <w:t>SETTINGS   [single link → in-page canonical Top Grouping, from M1+M2]</w:t>
      </w:r>
    </w:p>
    <w:p>
      <w:r>
        <w:t>The verticals (Hotel/Clinic/Salon/Pharmacy/Fashion/…) are unchanged and remain contextually gated.</w:t>
      </w:r>
    </w:p>
    <w:p>
      <w:pPr>
        <w:pStyle w:val="Heading2"/>
      </w:pPr>
      <w:r>
        <w:rPr>
          <w:color w:val="1F497D"/>
        </w:rPr>
        <w:t>4. UX review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Criterion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Label duplication (P1)</w:t>
            </w:r>
          </w:p>
        </w:tc>
        <w:tc>
          <w:tcPr>
            <w:tcW w:type="dxa" w:w="4320"/>
          </w:tcPr>
          <w:p>
            <w:r>
              <w:t>✅ The 4 shared keys now resolve to distinct labels; co-appearable pairs read differently ("Near-Expiry Medicines" vs "Near Expiry"; "Daily Distribution Summary" vs "Daily Summary")</w:t>
            </w:r>
          </w:p>
        </w:tc>
      </w:tr>
      <w:tr>
        <w:tc>
          <w:tcPr>
            <w:tcW w:type="dxa" w:w="4320"/>
          </w:tcPr>
          <w:p>
            <w:r>
              <w:t>CRM canonical entry point (P2)</w:t>
            </w:r>
          </w:p>
        </w:tc>
        <w:tc>
          <w:tcPr>
            <w:tcW w:type="dxa" w:w="4320"/>
          </w:tcPr>
          <w:p>
            <w:r>
              <w:t>✅ One CRM home surfacing existing customer pages; no scatter at the entry level</w:t>
            </w:r>
          </w:p>
        </w:tc>
      </w:tr>
      <w:tr>
        <w:tc>
          <w:tcPr>
            <w:tcW w:type="dxa" w:w="4320"/>
          </w:tcPr>
          <w:p>
            <w:r>
              <w:t>No new features (P2)</w:t>
            </w:r>
          </w:p>
        </w:tc>
        <w:tc>
          <w:tcPr>
            <w:tcW w:type="dxa" w:w="4320"/>
          </w:tcPr>
          <w:p>
            <w:r>
              <w:t>✅ Zero new pages/actions; pages render verbatim</w:t>
            </w:r>
          </w:p>
        </w:tc>
      </w:tr>
      <w:tr>
        <w:tc>
          <w:tcPr>
            <w:tcW w:type="dxa" w:w="4320"/>
          </w:tcPr>
          <w:p>
            <w:r>
              <w:t>Visibility / flags / platform-owner (P2)</w:t>
            </w:r>
          </w:p>
        </w:tc>
        <w:tc>
          <w:tcPr>
            <w:tcW w:type="dxa" w:w="4320"/>
          </w:tcPr>
          <w:p>
            <w:r>
              <w:t>✅ Identical (union-gate algebra + full suite)</w:t>
            </w:r>
          </w:p>
        </w:tc>
      </w:tr>
      <w:tr>
        <w:tc>
          <w:tcPr>
            <w:tcW w:type="dxa" w:w="4320"/>
          </w:tcPr>
          <w:p>
            <w:r>
              <w:t>Over-stuffed rail (P4)</w:t>
            </w:r>
          </w:p>
        </w:tc>
        <w:tc>
          <w:tcPr>
            <w:tcW w:type="dxa" w:w="4320"/>
          </w:tcPr>
          <w:p>
            <w:r>
              <w:t>✅ Sales 28→3 labelled subsections; Distribution 24→4 — "wall of links" gone</w:t>
            </w:r>
          </w:p>
        </w:tc>
      </w:tr>
      <w:tr>
        <w:tc>
          <w:tcPr>
            <w:tcW w:type="dxa" w:w="4320"/>
          </w:tcPr>
          <w:p>
            <w:r>
              <w:t>Container consistency (P3)</w:t>
            </w:r>
          </w:p>
        </w:tc>
        <w:tc>
          <w:tcPr>
            <w:tcW w:type="dxa" w:w="4320"/>
          </w:tcPr>
          <w:p>
            <w:r>
              <w:t>✅ Rule documented (Workbench = collections, ModulePage = hubs)</w:t>
            </w:r>
          </w:p>
        </w:tc>
      </w:tr>
      <w:tr>
        <w:tc>
          <w:tcPr>
            <w:tcW w:type="dxa" w:w="4320"/>
          </w:tcPr>
          <w:p>
            <w:r>
              <w:t>Routes / pages</w:t>
            </w:r>
          </w:p>
        </w:tc>
        <w:tc>
          <w:tcPr>
            <w:tcW w:type="dxa" w:w="4320"/>
          </w:tcPr>
          <w:p>
            <w:r>
              <w:t>✅ Unchanged (route-coverage test green)</w:t>
            </w:r>
          </w:p>
        </w:tc>
      </w:tr>
      <w:tr>
        <w:tc>
          <w:tcPr>
            <w:tcW w:type="dxa" w:w="4320"/>
          </w:tcPr>
          <w:p>
            <w:r>
              <w:t>Validation</w:t>
            </w:r>
          </w:p>
        </w:tc>
        <w:tc>
          <w:tcPr>
            <w:tcW w:type="dxa" w:w="4320"/>
          </w:tcPr>
          <w:p>
            <w:r>
              <w:t>✅ tsc · 1592 tests · build</w:t>
            </w:r>
          </w:p>
        </w:tc>
      </w:tr>
    </w:tbl>
    <w:p/>
    <w:p>
      <w:pPr>
        <w:pStyle w:val="Heading2"/>
      </w:pPr>
      <w:r>
        <w:rPr>
          <w:color w:val="1F497D"/>
        </w:rPr>
        <w:t xml:space="preserve">5. Capture points (preview, commit </w:t>
      </w:r>
      <w:r>
        <w:rPr>
          <w:rFonts w:ascii="Consolas" w:hAnsi="Consolas"/>
          <w:color w:val="1F497D"/>
          <w:sz w:val="19"/>
        </w:rPr>
        <w:t>4e57585</w:t>
      </w:r>
      <w:r>
        <w:rPr>
          <w:color w:val="1F497D"/>
        </w:rPr>
        <w:t>)</w:t>
      </w:r>
    </w:p>
    <w:p>
      <w:r>
        <w:t>Authenticated screenshots can't be captured from the sandbox; these are the exact shots to take (toggle EN/AR for RTL):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Where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Expect</w:t>
            </w:r>
          </w:p>
        </w:tc>
      </w:tr>
      <w:tr>
        <w:tc>
          <w:tcPr>
            <w:tcW w:type="dxa" w:w="4320"/>
          </w:tcPr>
          <w:p>
            <w:r>
              <w:t>Sidebar (FMCG/distribution tenant)</w:t>
            </w:r>
          </w:p>
        </w:tc>
        <w:tc>
          <w:tcPr>
            <w:tcW w:type="dxa" w:w="4320"/>
          </w:tcPr>
          <w:p>
            <w:r>
              <w:t xml:space="preserve">New </w:t>
            </w:r>
            <w:r>
              <w:rPr>
                <w:b/>
              </w:rPr>
              <w:t>CRM</w:t>
            </w:r>
            <w:r>
              <w:t xml:space="preserve"> section above Sales; Sales/Distribution show labelled subsection headers</w:t>
            </w:r>
          </w:p>
        </w:tc>
      </w:tr>
      <w:tr>
        <w:tc>
          <w:tcPr>
            <w:tcW w:type="dxa" w:w="4320"/>
          </w:tcPr>
          <w:p>
            <w:r>
              <w:t>Sidebar — Sales</w:t>
            </w:r>
          </w:p>
        </w:tc>
        <w:tc>
          <w:tcPr>
            <w:tcW w:type="dxa" w:w="4320"/>
          </w:tcPr>
          <w:p>
            <w:r>
              <w:t>*Selling · Field / Van Sales · Reports* sub-headers; no Customers/Transfer/Requests (now under CRM)</w:t>
            </w:r>
          </w:p>
        </w:tc>
      </w:tr>
      <w:tr>
        <w:tc>
          <w:tcPr>
            <w:tcW w:type="dxa" w:w="4320"/>
          </w:tcPr>
          <w:p>
            <w:r>
              <w:t>Sidebar — Distribution</w:t>
            </w:r>
          </w:p>
        </w:tc>
        <w:tc>
          <w:tcPr>
            <w:tcW w:type="dxa" w:w="4320"/>
          </w:tcPr>
          <w:p>
            <w:r>
              <w:t>*Execution · Coverage &amp; Assortment · Perfect Store · Reports*; no Credit Requests / Visit Outcomes</w:t>
            </w:r>
          </w:p>
        </w:tc>
      </w:tr>
      <w:tr>
        <w:tc>
          <w:tcPr>
            <w:tcW w:type="dxa" w:w="4320"/>
          </w:tcPr>
          <w:p>
            <w:r>
              <w:t>Pharmacy tenant + Inventory</w:t>
            </w:r>
          </w:p>
        </w:tc>
        <w:tc>
          <w:tcPr>
            <w:tcW w:type="dxa" w:w="4320"/>
          </w:tcPr>
          <w:p>
            <w:r>
              <w:t>"Near-Expiry Medicines" (pharmacy) vs "Near Expiry" (inventory) — distinct</w:t>
            </w:r>
          </w:p>
        </w:tc>
      </w:tr>
      <w:tr>
        <w:tc>
          <w:tcPr>
            <w:tcW w:type="dxa" w:w="4320"/>
          </w:tcPr>
          <w:p>
            <w:r>
              <w:t>Salon tenant</w:t>
            </w:r>
          </w:p>
        </w:tc>
        <w:tc>
          <w:tcPr>
            <w:tcW w:type="dxa" w:w="4320"/>
          </w:tcPr>
          <w:p>
            <w:r>
              <w:t>"Salon Appointments" / "Salon Services"</w:t>
            </w:r>
          </w:p>
        </w:tc>
      </w:tr>
      <w:tr>
        <w:tc>
          <w:tcPr>
            <w:tcW w:type="dxa" w:w="4320"/>
          </w:tcPr>
          <w:p>
            <w:r>
              <w:t>Same user, before vs after</w:t>
            </w:r>
          </w:p>
        </w:tc>
        <w:tc>
          <w:tcPr>
            <w:tcW w:type="dxa" w:w="4320"/>
          </w:tcPr>
          <w:p>
            <w:r>
              <w:t>Same set of reachable pages (nothing gained/lost) — only grouping/placement changed</w:t>
            </w:r>
          </w:p>
        </w:tc>
      </w:tr>
    </w:tbl>
    <w:p/>
    <w:p>
      <w:pPr>
        <w:pStyle w:val="Heading2"/>
      </w:pPr>
      <w:r>
        <w:rPr>
          <w:color w:val="1F497D"/>
        </w:rPr>
        <w:t>6. Status &amp; next</w:t>
      </w:r>
    </w:p>
    <w:p>
      <w:pPr>
        <w:pStyle w:val="ListBullet"/>
      </w:pPr>
      <w:r>
        <w:rPr>
          <w:b/>
        </w:rPr>
        <w:t>P1–P4 complete, validated, pushed.</w:t>
      </w:r>
      <w:r>
        <w:t xml:space="preserve"> Awaiting your live preview sign-off.</w:t>
      </w:r>
    </w:p>
    <w:p>
      <w:pPr>
        <w:pStyle w:val="ListBullet"/>
      </w:pPr>
      <w:r>
        <w:rPr>
          <w:b/>
        </w:rPr>
        <w:t>P5</w:t>
      </w:r>
      <w:r>
        <w:t xml:space="preserve"> (align platform entity pages + </w:t>
      </w:r>
      <w:r>
        <w:rPr>
          <w:rFonts w:ascii="Consolas" w:hAnsi="Consolas"/>
          <w:sz w:val="19"/>
        </w:rPr>
        <w:t>/customers</w:t>
      </w:r>
      <w:r>
        <w:t xml:space="preserve"> to AdminWorkbench; unify list pagination) and </w:t>
      </w:r>
      <w:r>
        <w:rPr>
          <w:b/>
        </w:rPr>
        <w:t>P6</w:t>
      </w:r>
      <w:r>
        <w:t xml:space="preserve"> (CRM sales-funnel — new features) remain </w:t>
      </w:r>
      <w:r>
        <w:rPr>
          <w:b/>
        </w:rPr>
        <w:t>deferred</w:t>
      </w:r>
      <w:r>
        <w:t>.</w:t>
      </w:r>
    </w:p>
    <w:p>
      <w:pPr>
        <w:pStyle w:val="ListBullet"/>
      </w:pPr>
      <w:r>
        <w:rPr>
          <w:b/>
        </w:rPr>
        <w:t>Settings M3</w:t>
      </w:r>
      <w:r>
        <w:t xml:space="preserve"> page-merges remain deferred and independent.</w:t>
      </w:r>
    </w:p>
    <w:p>
      <w:r>
        <w:t xml:space="preserve">Priority preserved: </w:t>
      </w:r>
      <w:r>
        <w:rPr>
          <w:b/>
        </w:rPr>
        <w:t>navigation consistency &gt; taxonomy clarity &gt; page consolidation</w:t>
      </w:r>
      <w:r>
        <w:t xml:space="preserve">, and </w:t>
      </w:r>
      <w:r>
        <w:rPr>
          <w:b/>
        </w:rPr>
        <w:t>architecture/UX consistency before new features.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