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Platform-Wide Navigation &amp; UX Consistency Audit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Platform-Wide Navigation &amp; UX Consistency Audit</w:t>
      </w:r>
    </w:p>
    <w:p>
      <w:pPr>
        <w:pStyle w:val="Heading3"/>
      </w:pPr>
      <w:r>
        <w:t>Continuing the single-source methodology beyond Settings</w:t>
      </w:r>
    </w:p>
    <w:p>
      <w:r>
        <w:rPr>
          <w:b/>
        </w:rPr>
        <w:t>Branch:</w:t>
      </w:r>
      <w:r>
        <w:t xml:space="preserve"> </w:t>
      </w:r>
      <w:r>
        <w:rPr>
          <w:rFonts w:ascii="Consolas" w:hAnsi="Consolas"/>
          <w:sz w:val="19"/>
        </w:rPr>
        <w:t>claude/pilot-ux</w:t>
      </w:r>
      <w:r>
        <w:t xml:space="preserve"> · </w:t>
      </w:r>
      <w:r>
        <w:rPr>
          <w:b/>
        </w:rPr>
        <w:t>PR:</w:t>
      </w:r>
      <w:r>
        <w:t xml:space="preserve"> #319 · </w:t>
      </w:r>
      <w:r>
        <w:rPr>
          <w:b/>
        </w:rPr>
        <w:t>Date:</w:t>
      </w:r>
      <w:r>
        <w:t xml:space="preserve"> 2026-06-18 · </w:t>
      </w:r>
      <w:r>
        <w:rPr>
          <w:b/>
        </w:rPr>
        <w:t>Status:</w:t>
      </w:r>
      <w:r>
        <w:t xml:space="preserve"> Findings &amp; recommendations — *no implementation.*</w:t>
      </w:r>
    </w:p>
    <w:p>
      <w:r>
        <w:t xml:space="preserve">Applies the audit methodology proven on Settings (single source of truth, canonical taxonomy, VP1–VP4 vocabulary, gate-identity) to the rest of the platform. Four parts: </w:t>
      </w:r>
      <w:r>
        <w:rPr>
          <w:b/>
        </w:rPr>
        <w:t>(A) navigation duplication beyond Settings, (B) Admin Center consistency, (C) platform-wide taxonomy, (D) CRM architecture.</w:t>
      </w:r>
      <w:r>
        <w:t xml:space="preserve"> Constraints maintained: no business-logic, permission, RLS, or workflow change. Priority: </w:t>
      </w:r>
      <w:r>
        <w:rPr>
          <w:b/>
        </w:rPr>
        <w:t>architecture &amp; UX consistency before new features.</w:t>
      </w:r>
    </w:p>
    <w:p>
      <w:pPr>
        <w:pStyle w:val="Heading2"/>
      </w:pPr>
      <w:r>
        <w:rPr>
          <w:color w:val="1F497D"/>
        </w:rPr>
        <w:t>Part A — Navigation duplication (beyond Settings)</w:t>
      </w:r>
    </w:p>
    <w:p>
      <w:pPr>
        <w:pStyle w:val="Heading3"/>
      </w:pPr>
      <w:r>
        <w:t>A1. Shared label keys pointing at *different* routes (true echoes)</w:t>
      </w:r>
    </w:p>
    <w:p>
      <w:r>
        <w:t xml:space="preserve">Grep of </w:t>
      </w:r>
      <w:r>
        <w:rPr>
          <w:rFonts w:ascii="Consolas" w:hAnsi="Consolas"/>
          <w:sz w:val="19"/>
        </w:rPr>
        <w:t>navigation.ts</w:t>
      </w:r>
      <w:r>
        <w:t xml:space="preserve"> — one i18n label key reused for two distinct destinations: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Label key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Route 1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Route 2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nav.items.dailySummary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/field/van-sales/summary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/distribution/daily-summary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nav.items.expiryNear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/inventory/expiry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/pharmacy/expiry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nav.items.appointments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/clinic/appointments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/salon/appointments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nav.items.services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/clinic/services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/salon/services</w:t>
            </w:r>
          </w:p>
        </w:tc>
      </w:tr>
    </w:tbl>
    <w:p/>
    <w:p>
      <w:r>
        <w:t>Two of these (</w:t>
      </w:r>
      <w:r>
        <w:rPr>
          <w:rFonts w:ascii="Consolas" w:hAnsi="Consolas"/>
          <w:sz w:val="19"/>
        </w:rPr>
        <w:t>dailySummary</w:t>
      </w:r>
      <w:r>
        <w:t xml:space="preserve">, </w:t>
      </w:r>
      <w:r>
        <w:rPr>
          <w:rFonts w:ascii="Consolas" w:hAnsi="Consolas"/>
          <w:sz w:val="19"/>
        </w:rPr>
        <w:t>expiryNear</w:t>
      </w:r>
      <w:r>
        <w:t xml:space="preserve">) </w:t>
      </w:r>
      <w:r>
        <w:rPr>
          <w:b/>
        </w:rPr>
        <w:t>can co-appear for one tenant</w:t>
      </w:r>
      <w:r>
        <w:t xml:space="preserve"> (inventory + pharmacy; van-sales + distribution) — a genuine VP3 violation (same word, two places). The clinic/salon pairs are vertical-exclusive (lower risk) but still share a key. </w:t>
      </w:r>
      <w:r>
        <w:rPr>
          <w:b/>
        </w:rPr>
        <w:t>Fix = distinct labels (label-only, M2-style, safe).</w:t>
      </w:r>
    </w:p>
    <w:p>
      <w:pPr>
        <w:pStyle w:val="Heading3"/>
      </w:pPr>
      <w:r>
        <w:t>A2. Same label *and* same route, two entries</w:t>
      </w:r>
    </w:p>
    <w:p>
      <w:r>
        <w:rPr>
          <w:rFonts w:ascii="Consolas" w:hAnsi="Consolas"/>
          <w:sz w:val="19"/>
        </w:rPr>
        <w:t>nav.items.auditLog → /platform/audit</w:t>
      </w:r>
      <w:r>
        <w:t xml:space="preserve"> appears twice (provider section for platform staff; settings section for tenant super-admins). Same destination, same label, two audiences. Acceptable by audience, but worth a comment so it isn't "fixed" into a single gate by mistake.</w:t>
      </w:r>
    </w:p>
    <w:p>
      <w:pPr>
        <w:pStyle w:val="Heading3"/>
      </w:pPr>
      <w:r>
        <w:t>A3. Cross-module concept scatter (no single home)</w:t>
      </w:r>
    </w:p>
    <w:p>
      <w:r>
        <w:t>A concept recurs across many sections with near-identical labels: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Concept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Surfaces (examples)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Reports / Summary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/reports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/sales/report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/distribution/report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/accounting/reports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/pharmacy/reports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/clinic/reports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/fashion/reports</w:t>
            </w:r>
            <w:r>
              <w:t xml:space="preserve"> · several </w:t>
            </w:r>
            <w:r>
              <w:rPr>
                <w:rFonts w:ascii="Consolas" w:hAnsi="Consolas"/>
                <w:sz w:val="19"/>
              </w:rPr>
              <w:t>*summary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Approvals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/approvals/queue</w:t>
            </w:r>
            <w:r>
              <w:t xml:space="preserve"> (unified) · </w:t>
            </w:r>
            <w:r>
              <w:rPr>
                <w:rFonts w:ascii="Consolas" w:hAnsi="Consolas"/>
                <w:sz w:val="19"/>
              </w:rPr>
              <w:t>/field/van-sales/approvals</w:t>
            </w:r>
            <w:r>
              <w:t xml:space="preserve"> (returns) · </w:t>
            </w:r>
            <w:r>
              <w:rPr>
                <w:rFonts w:ascii="Consolas" w:hAnsi="Consolas"/>
                <w:sz w:val="19"/>
              </w:rPr>
              <w:t>/field/van-sales/day-close-approvals</w:t>
            </w:r>
            <w:r>
              <w:t xml:space="preserve"> · settings </w:t>
            </w:r>
            <w:r>
              <w:rPr>
                <w:rFonts w:ascii="Consolas" w:hAnsi="Consolas"/>
                <w:sz w:val="19"/>
              </w:rPr>
              <w:t>approval-matrix</w:t>
            </w:r>
            <w:r>
              <w:t xml:space="preserve"> (config)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Returns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/sales/returns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/field/van-sales/my-returns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/purchases/returns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/pharmacy/returns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/distribution/returns-analysis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Customers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/customers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/wholesale/customers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/fashion/customers</w:t>
            </w:r>
            <w:r>
              <w:t xml:space="preserve"> · clinic </w:t>
            </w:r>
            <w:r>
              <w:rPr>
                <w:rFonts w:ascii="Consolas" w:hAnsi="Consolas"/>
                <w:sz w:val="19"/>
              </w:rPr>
              <w:t>patients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Dashboard</w:t>
            </w:r>
          </w:p>
        </w:tc>
        <w:tc>
          <w:tcPr>
            <w:tcW w:type="dxa" w:w="4320"/>
          </w:tcPr>
          <w:p>
            <w:r>
              <w:t xml:space="preserve">generic </w:t>
            </w:r>
            <w:r>
              <w:rPr>
                <w:rFonts w:ascii="Consolas" w:hAnsi="Consolas"/>
                <w:sz w:val="19"/>
              </w:rPr>
              <w:t>/dashboard</w:t>
            </w:r>
            <w:r>
              <w:t xml:space="preserve"> + 7 vertical </w:t>
            </w:r>
            <w:r>
              <w:rPr>
                <w:rFonts w:ascii="Consolas" w:hAnsi="Consolas"/>
                <w:sz w:val="19"/>
              </w:rPr>
              <w:t>*Dashboard</w:t>
            </w:r>
            <w:r>
              <w:t xml:space="preserve"> items</w:t>
            </w:r>
          </w:p>
        </w:tc>
      </w:tr>
    </w:tbl>
    <w:p/>
    <w:p>
      <w:r>
        <w:t xml:space="preserve">Most are contextually gated (a tenant sees only its vertical), so this is </w:t>
      </w:r>
      <w:r>
        <w:rPr>
          <w:b/>
        </w:rPr>
        <w:t>not</w:t>
      </w:r>
      <w:r>
        <w:t xml:space="preserve"> a per-user duplication like Settings was — but it *is* a vocabulary-consistency issue (VP1 operational-vs-config for Approvals/Returns; consistent "Reports" naming). </w:t>
      </w:r>
      <w:r>
        <w:rPr>
          <w:b/>
        </w:rPr>
        <w:t>Fix = naming convention + per-section "Reports" sub-grouping, not consolidation.</w:t>
      </w:r>
    </w:p>
    <w:p>
      <w:pPr>
        <w:pStyle w:val="Heading3"/>
      </w:pPr>
      <w:r>
        <w:t>A4. Over-stuffed sections (need "rise to top grouping")</w:t>
      </w:r>
    </w:p>
    <w:p>
      <w:r>
        <w:t>Item counts per module section: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Items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Verdict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sales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❌ Far over the ≤7 guideline — top-group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distribution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❌ Top-group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main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⚠️ Trim / group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pharmacy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⚠️ Borderline</w:t>
            </w:r>
          </w:p>
        </w:tc>
      </w:tr>
      <w:tr>
        <w:tc>
          <w:tcPr>
            <w:tcW w:type="dxa" w:w="2880"/>
          </w:tcPr>
          <w:p>
            <w:r>
              <w:t>inventory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⚠️</w:t>
            </w:r>
          </w:p>
        </w:tc>
      </w:tr>
      <w:tr>
        <w:tc>
          <w:tcPr>
            <w:tcW w:type="dxa" w:w="2880"/>
          </w:tcPr>
          <w:p>
            <w:r>
              <w:t>(others)</w:t>
            </w:r>
          </w:p>
        </w:tc>
        <w:tc>
          <w:tcPr>
            <w:tcW w:type="dxa" w:w="2880"/>
          </w:tcPr>
          <w:p>
            <w:r>
              <w:t>≤9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/>
    <w:p>
      <w:r>
        <w:t xml:space="preserve">These are flat vertical lists in the rail — exactly the "one rail, then rise" target. Recommended top groups (design only): </w:t>
      </w:r>
      <w:r>
        <w:rPr>
          <w:b/>
        </w:rPr>
        <w:t>Sales</w:t>
      </w:r>
      <w:r>
        <w:t xml:space="preserve"> → *Selling · Field/Van Sales · Customers · Reports*; </w:t>
      </w:r>
      <w:r>
        <w:rPr>
          <w:b/>
        </w:rPr>
        <w:t>Distribution</w:t>
      </w:r>
      <w:r>
        <w:t xml:space="preserve"> → *Execution · Coverage &amp; MSL · Perfect Store · Trade Spend · Reports*.</w:t>
      </w:r>
    </w:p>
    <w:p>
      <w:pPr>
        <w:pStyle w:val="Heading2"/>
      </w:pPr>
      <w:r>
        <w:rPr>
          <w:color w:val="1F497D"/>
        </w:rPr>
        <w:t>Part B — Admin Center consistency</w:t>
      </w:r>
    </w:p>
    <w:p>
      <w:r>
        <w:t>Inventory (read-verified): the shared admin library (</w:t>
      </w:r>
      <w:r>
        <w:rPr>
          <w:rFonts w:ascii="Consolas" w:hAnsi="Consolas"/>
          <w:sz w:val="19"/>
        </w:rPr>
        <w:t>src/components/admin/</w:t>
      </w:r>
      <w:r>
        <w:t xml:space="preserve">, 11 components — AdminWorkbench, EntityListPanel, EntityHeader/EntityTabs, EntityActionBar, TopGroupingNav, ContextPanel, ModulePage, SettingsGroupNav, SectionCard, ActivityFeed, audit-feed-actions) is </w:t>
      </w:r>
      <w:r>
        <w:rPr>
          <w:b/>
        </w:rPr>
        <w:t>heavily used in Settings workbenches but almost absent on the Platform layer.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Primitive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Platform (</w:t>
            </w:r>
            <w:r>
              <w:rPr>
                <w:rFonts w:ascii="Consolas" w:hAnsi="Consolas"/>
                <w:b/>
                <w:color w:val="FFFFFF"/>
                <w:sz w:val="19"/>
              </w:rPr>
              <w:t>/platform/*</w:t>
            </w:r>
            <w:r>
              <w:rPr>
                <w:b/>
                <w:color w:val="FFFFFF"/>
              </w:rPr>
              <w:t>)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Settings workbenches</w:t>
            </w:r>
          </w:p>
        </w:tc>
      </w:tr>
      <w:tr>
        <w:tc>
          <w:tcPr>
            <w:tcW w:type="dxa" w:w="2880"/>
          </w:tcPr>
          <w:p>
            <w:r>
              <w:t>AdminWorkbench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 / 9</w:t>
            </w:r>
            <w:r>
              <w:t xml:space="preserve"> (Companies only)</w:t>
            </w:r>
          </w:p>
        </w:tc>
        <w:tc>
          <w:tcPr>
            <w:tcW w:type="dxa" w:w="2880"/>
          </w:tcPr>
          <w:p>
            <w:r>
              <w:t>4 / 5</w:t>
            </w:r>
          </w:p>
        </w:tc>
      </w:tr>
      <w:tr>
        <w:tc>
          <w:tcPr>
            <w:tcW w:type="dxa" w:w="2880"/>
          </w:tcPr>
          <w:p>
            <w:r>
              <w:t>EntityListPanel / EntityHeader / EntityTabs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4–5</w:t>
            </w:r>
          </w:p>
        </w:tc>
      </w:tr>
      <w:tr>
        <w:tc>
          <w:tcPr>
            <w:tcW w:type="dxa" w:w="2880"/>
          </w:tcPr>
          <w:p>
            <w:r>
              <w:t>EntityActionBar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ActivityFeed (right-panel audit)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TopGroupingNav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</w:tbl>
    <w:p/>
    <w:p>
      <w:pPr>
        <w:pStyle w:val="Heading3"/>
      </w:pPr>
      <w:r>
        <w:t>Findings</w:t>
      </w:r>
    </w:p>
    <w:p>
      <w:pPr>
        <w:pStyle w:val="ListBullet"/>
      </w:pPr>
      <w:r>
        <w:rPr>
          <w:b/>
        </w:rPr>
        <w:t>B1. Platform entity surfaces are bespoke.</w:t>
      </w:r>
      <w:r>
        <w:t xml:space="preserve"> </w:t>
      </w:r>
      <w:r>
        <w:rPr>
          <w:rFonts w:ascii="Consolas" w:hAnsi="Consolas"/>
          <w:sz w:val="19"/>
        </w:rPr>
        <w:t>/platform/plans</w:t>
      </w:r>
      <w:r>
        <w:t xml:space="preserve">, </w:t>
      </w:r>
      <w:r>
        <w:rPr>
          <w:rFonts w:ascii="Consolas" w:hAnsi="Consolas"/>
          <w:sz w:val="19"/>
        </w:rPr>
        <w:t>/roles</w:t>
      </w:r>
      <w:r>
        <w:t xml:space="preserve">, </w:t>
      </w:r>
      <w:r>
        <w:rPr>
          <w:rFonts w:ascii="Consolas" w:hAnsi="Consolas"/>
          <w:sz w:val="19"/>
        </w:rPr>
        <w:t>/staff</w:t>
      </w:r>
      <w:r>
        <w:t xml:space="preserve">, </w:t>
      </w:r>
      <w:r>
        <w:rPr>
          <w:rFonts w:ascii="Consolas" w:hAnsi="Consolas"/>
          <w:sz w:val="19"/>
        </w:rPr>
        <w:t>/billing</w:t>
      </w:r>
      <w:r>
        <w:t xml:space="preserve"> are custom managers (their own list/filter/actions) instead of the 3-panel workbench. </w:t>
      </w:r>
      <w:r>
        <w:rPr>
          <w:rFonts w:ascii="Consolas" w:hAnsi="Consolas"/>
          <w:sz w:val="19"/>
        </w:rPr>
        <w:t>Companies</w:t>
      </w:r>
      <w:r>
        <w:t xml:space="preserve"> is the lone exception (full workbench + Company360).</w:t>
      </w:r>
    </w:p>
    <w:p>
      <w:pPr>
        <w:pStyle w:val="ListBullet"/>
      </w:pPr>
      <w:r>
        <w:rPr>
          <w:b/>
        </w:rPr>
        <w:t>B2. Two list patterns.</w:t>
      </w:r>
      <w:r>
        <w:t xml:space="preserve"> Settings </w:t>
      </w:r>
      <w:r>
        <w:rPr>
          <w:rFonts w:ascii="Consolas" w:hAnsi="Consolas"/>
          <w:sz w:val="19"/>
        </w:rPr>
        <w:t>EntityListPanel</w:t>
      </w:r>
      <w:r>
        <w:t xml:space="preserve"> is client-side (≤200 rows); platform pages do server-side pagination+filter. Inconsistent capacity and UX.</w:t>
      </w:r>
    </w:p>
    <w:p>
      <w:pPr>
        <w:pStyle w:val="ListBullet"/>
      </w:pPr>
      <w:r>
        <w:rPr>
          <w:b/>
        </w:rPr>
        <w:t>B3. Undocumented dual container.</w:t>
      </w:r>
      <w:r>
        <w:t xml:space="preserve"> </w:t>
      </w:r>
      <w:r>
        <w:rPr>
          <w:rFonts w:ascii="Consolas" w:hAnsi="Consolas"/>
          <w:sz w:val="19"/>
        </w:rPr>
        <w:t>Features</w:t>
      </w:r>
      <w:r>
        <w:t xml:space="preserve"> intentionally uses </w:t>
      </w:r>
      <w:r>
        <w:rPr>
          <w:rFonts w:ascii="Consolas" w:hAnsi="Consolas"/>
          <w:sz w:val="19"/>
        </w:rPr>
        <w:t>ModulePage</w:t>
      </w:r>
      <w:r>
        <w:t xml:space="preserve"> (hub/grid), the others use </w:t>
      </w:r>
      <w:r>
        <w:rPr>
          <w:rFonts w:ascii="Consolas" w:hAnsi="Consolas"/>
          <w:sz w:val="19"/>
        </w:rPr>
        <w:t>AdminWorkbench</w:t>
      </w:r>
      <w:r>
        <w:t xml:space="preserve"> (list+detail). The *rule* for which to use isn't written down.</w:t>
      </w:r>
    </w:p>
    <w:p>
      <w:pPr>
        <w:pStyle w:val="ListBullet"/>
      </w:pPr>
      <w:r>
        <w:rPr>
          <w:b/>
        </w:rPr>
        <w:t>B4. Audit/action surfaces diverge.</w:t>
      </w:r>
      <w:r>
        <w:t xml:space="preserve"> </w:t>
      </w:r>
      <w:r>
        <w:rPr>
          <w:rFonts w:ascii="Consolas" w:hAnsi="Consolas"/>
          <w:sz w:val="19"/>
        </w:rPr>
        <w:t>EntityActionBar</w:t>
      </w:r>
      <w:r>
        <w:t xml:space="preserve"> and </w:t>
      </w:r>
      <w:r>
        <w:rPr>
          <w:rFonts w:ascii="Consolas" w:hAnsi="Consolas"/>
          <w:sz w:val="19"/>
        </w:rPr>
        <w:t>ActivityFeed</w:t>
      </w:r>
      <w:r>
        <w:t xml:space="preserve"> exist but aren't used on the platform layer.</w:t>
      </w:r>
    </w:p>
    <w:p>
      <w:pPr>
        <w:pStyle w:val="Heading3"/>
      </w:pPr>
      <w:r>
        <w:t>Recommendations (consistency, not rewrite)</w:t>
      </w:r>
    </w:p>
    <w:p>
      <w:pPr>
        <w:pStyle w:val="ListBullet"/>
      </w:pPr>
      <w:r>
        <w:rPr>
          <w:b/>
        </w:rPr>
        <w:t>B-R1. Write the container decision rule</w:t>
      </w:r>
      <w:r>
        <w:t xml:space="preserve"> (cheapest, highest leverage): *AdminWorkbench* for an </w:t>
      </w:r>
      <w:r>
        <w:rPr>
          <w:b/>
        </w:rPr>
        <w:t>entity collection</w:t>
      </w:r>
      <w:r>
        <w:t xml:space="preserve"> (list + detail + facets: Companies/Plans/Roles/Staff/Users); *ModulePage + StatCards* for a </w:t>
      </w:r>
      <w:r>
        <w:rPr>
          <w:b/>
        </w:rPr>
        <w:t>dashboard/hub</w:t>
      </w:r>
      <w:r>
        <w:t xml:space="preserve"> (Analytics/Activity/Copilot/Overview/Features). This legitimizes the bespoke dashboards and targets only the *entity* pages for alignment.</w:t>
      </w:r>
    </w:p>
    <w:p>
      <w:pPr>
        <w:pStyle w:val="ListBullet"/>
      </w:pPr>
      <w:r>
        <w:rPr>
          <w:b/>
        </w:rPr>
        <w:t>B-R2. Sequence the entity-page alignments</w:t>
      </w:r>
      <w:r>
        <w:t xml:space="preserve"> (plans/roles/staff → AdminWorkbench), each a separate UX-standardization task reusing existing managers/actions — no logic change. Defer; not now.</w:t>
      </w:r>
    </w:p>
    <w:p>
      <w:pPr>
        <w:pStyle w:val="ListBullet"/>
      </w:pPr>
      <w:r>
        <w:rPr>
          <w:b/>
        </w:rPr>
        <w:t>B-R3. Unify list capacity</w:t>
      </w:r>
      <w:r>
        <w:t xml:space="preserve"> by adding the (already "windowing-ready") server-search hook to </w:t>
      </w:r>
      <w:r>
        <w:rPr>
          <w:rFonts w:ascii="Consolas" w:hAnsi="Consolas"/>
          <w:sz w:val="19"/>
        </w:rPr>
        <w:t>EntityListPanel</w:t>
      </w:r>
      <w:r>
        <w:t xml:space="preserve"> so settings + platform share one list model.</w:t>
      </w:r>
    </w:p>
    <w:p>
      <w:pPr>
        <w:pStyle w:val="Heading2"/>
      </w:pPr>
      <w:r>
        <w:rPr>
          <w:color w:val="1F497D"/>
        </w:rPr>
        <w:t>Part C — Platform-wide taxonomy</w:t>
      </w:r>
    </w:p>
    <w:p>
      <w:r>
        <w:t>The Settings canonical-taxonomy method generalizes to the whole rail:</w:t>
      </w:r>
    </w:p>
    <w:p>
      <w:pPr>
        <w:pStyle w:val="ListBullet"/>
      </w:pPr>
      <w:r>
        <w:rPr>
          <w:b/>
        </w:rPr>
        <w:t>C1. Apply VP1–VP4 platform-wide.</w:t>
      </w:r>
      <w:r>
        <w:t xml:space="preserve"> Operational ≠ configuration everywhere (Approvals queue vs Approval Matrix; Returns vs Return Policy — already fixed in Settings); a group is never named for a page; no label repeats in a path; one catalog per area.</w:t>
      </w:r>
    </w:p>
    <w:p>
      <w:pPr>
        <w:pStyle w:val="ListBullet"/>
      </w:pPr>
      <w:r>
        <w:rPr>
          <w:b/>
        </w:rPr>
        <w:t>C2. Top-group the over-stuffed sections</w:t>
      </w:r>
      <w:r>
        <w:t xml:space="preserve"> (Part A4) using the same </w:t>
      </w:r>
      <w:r>
        <w:rPr>
          <w:rFonts w:ascii="Consolas" w:hAnsi="Consolas"/>
          <w:sz w:val="19"/>
        </w:rPr>
        <w:t>TopGroupingNav</w:t>
      </w:r>
      <w:r>
        <w:t xml:space="preserve"> primitive already shipped.</w:t>
      </w:r>
    </w:p>
    <w:p>
      <w:pPr>
        <w:pStyle w:val="ListBullet"/>
      </w:pPr>
      <w:r>
        <w:rPr>
          <w:b/>
        </w:rPr>
        <w:t>C3. The rail's vertical/capability mix is fine.</w:t>
      </w:r>
      <w:r>
        <w:t xml:space="preserve"> Hotel/Clinic/Salon/Pharmacy/Fashion/etc. are contextually gated (a tenant sees only its pack), so they are *not* duplication — leave as is.</w:t>
      </w:r>
    </w:p>
    <w:p>
      <w:pPr>
        <w:pStyle w:val="ListBullet"/>
      </w:pPr>
      <w:r>
        <w:rPr>
          <w:b/>
        </w:rPr>
        <w:t>C4. Reports taxonomy.</w:t>
      </w:r>
      <w:r>
        <w:t xml:space="preserve"> "Reports" is the most-scattered concept; recommend a consistent per-module *Reports* sub-group (not a global merge — the reports are module-specific), with one naming pattern ("&lt;Module&gt; Reports").</w:t>
      </w:r>
    </w:p>
    <w:p>
      <w:pPr>
        <w:pStyle w:val="Heading2"/>
      </w:pPr>
      <w:r>
        <w:rPr>
          <w:color w:val="1F497D"/>
        </w:rPr>
        <w:t>Part D — CRM architecture review</w:t>
      </w:r>
    </w:p>
    <w:p>
      <w:pPr>
        <w:pStyle w:val="Heading3"/>
      </w:pPr>
      <w:r>
        <w:t>Current state (read-verified)</w:t>
      </w:r>
    </w:p>
    <w:p>
      <w:pPr>
        <w:pStyle w:val="ListBullet"/>
      </w:pPr>
      <w:r>
        <w:rPr>
          <w:b/>
        </w:rPr>
        <w:t>There is no CRM section.</w:t>
      </w:r>
      <w:r>
        <w:t xml:space="preserve"> </w:t>
      </w:r>
      <w:r>
        <w:rPr>
          <w:rFonts w:ascii="Consolas" w:hAnsi="Consolas"/>
          <w:sz w:val="19"/>
        </w:rPr>
        <w:t>crm</w:t>
      </w:r>
      <w:r>
        <w:t xml:space="preserve"> is a *licensable module gate* only; its surfaces live inside </w:t>
      </w:r>
      <w:r>
        <w:rPr>
          <w:b/>
        </w:rPr>
        <w:t>Sales</w:t>
      </w:r>
      <w:r>
        <w:t xml:space="preserve"> (</w:t>
      </w:r>
      <w:r>
        <w:rPr>
          <w:rFonts w:ascii="Consolas" w:hAnsi="Consolas"/>
          <w:sz w:val="19"/>
        </w:rPr>
        <w:t>/customers</w:t>
      </w:r>
      <w:r>
        <w:t xml:space="preserve">, </w:t>
      </w:r>
      <w:r>
        <w:rPr>
          <w:rFonts w:ascii="Consolas" w:hAnsi="Consolas"/>
          <w:sz w:val="19"/>
        </w:rPr>
        <w:t>/customers/transfer</w:t>
      </w:r>
      <w:r>
        <w:t xml:space="preserve">, both gated </w:t>
      </w:r>
      <w:r>
        <w:rPr>
          <w:rFonts w:ascii="Consolas" w:hAnsi="Consolas"/>
          <w:sz w:val="19"/>
        </w:rPr>
        <w:t>module: ['crm','sales']</w:t>
      </w:r>
      <w:r>
        <w:t>).</w:t>
      </w:r>
    </w:p>
    <w:p>
      <w:pPr>
        <w:pStyle w:val="ListBullet"/>
      </w:pPr>
      <w:r>
        <w:rPr>
          <w:b/>
        </w:rPr>
        <w:t>CRM concepts are scattered across five sections: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Concept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Surfaced under</w:t>
            </w:r>
          </w:p>
        </w:tc>
      </w:tr>
      <w:tr>
        <w:tc>
          <w:tcPr>
            <w:tcW w:type="dxa" w:w="2880"/>
          </w:tcPr>
          <w:p>
            <w:r>
              <w:t>Customers (list/detail/360/statement)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/customers*</w:t>
            </w:r>
          </w:p>
        </w:tc>
        <w:tc>
          <w:tcPr>
            <w:tcW w:type="dxa" w:w="2880"/>
          </w:tcPr>
          <w:p>
            <w:r>
              <w:t>Sales</w:t>
            </w:r>
          </w:p>
        </w:tc>
      </w:tr>
      <w:tr>
        <w:tc>
          <w:tcPr>
            <w:tcW w:type="dxa" w:w="2880"/>
          </w:tcPr>
          <w:p>
            <w:r>
              <w:t>Customer master data (segment/class/channel)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/settings/customer-data</w:t>
            </w:r>
          </w:p>
        </w:tc>
        <w:tc>
          <w:tcPr>
            <w:tcW w:type="dxa" w:w="2880"/>
          </w:tcPr>
          <w:p>
            <w:r>
              <w:t>Settings → Products &amp; Data</w:t>
            </w:r>
          </w:p>
        </w:tc>
      </w:tr>
      <w:tr>
        <w:tc>
          <w:tcPr>
            <w:tcW w:type="dxa" w:w="2880"/>
          </w:tcPr>
          <w:p>
            <w:r>
              <w:t>Customer requests (new/update/GPS/credit)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/field/van-sales/customer-requests</w:t>
            </w:r>
          </w:p>
        </w:tc>
        <w:tc>
          <w:tcPr>
            <w:tcW w:type="dxa" w:w="2880"/>
          </w:tcPr>
          <w:p>
            <w:r>
              <w:t>Field/Van Sales</w:t>
            </w:r>
          </w:p>
        </w:tc>
      </w:tr>
      <w:tr>
        <w:tc>
          <w:tcPr>
            <w:tcW w:type="dxa" w:w="2880"/>
          </w:tcPr>
          <w:p>
            <w:r>
              <w:t>Customer onboarding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/settings/onboarding</w:t>
            </w:r>
          </w:p>
        </w:tc>
        <w:tc>
          <w:tcPr>
            <w:tcW w:type="dxa" w:w="2880"/>
          </w:tcPr>
          <w:p>
            <w:r>
              <w:t>Settings → Integrations</w:t>
            </w:r>
          </w:p>
        </w:tc>
      </w:tr>
      <w:tr>
        <w:tc>
          <w:tcPr>
            <w:tcW w:type="dxa" w:w="2880"/>
          </w:tcPr>
          <w:p>
            <w:r>
              <w:t>Visit outcomes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/distribution/visit-outcomes</w:t>
            </w:r>
          </w:p>
        </w:tc>
        <w:tc>
          <w:tcPr>
            <w:tcW w:type="dxa" w:w="2880"/>
          </w:tcPr>
          <w:p>
            <w:r>
              <w:t>Distribution</w:t>
            </w:r>
          </w:p>
        </w:tc>
      </w:tr>
      <w:tr>
        <w:tc>
          <w:tcPr>
            <w:tcW w:type="dxa" w:w="2880"/>
          </w:tcPr>
          <w:p>
            <w:r>
              <w:t>Credit requests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/distribution/credit-requests</w:t>
            </w:r>
          </w:p>
        </w:tc>
        <w:tc>
          <w:tcPr>
            <w:tcW w:type="dxa" w:w="2880"/>
          </w:tcPr>
          <w:p>
            <w:r>
              <w:t>Distribution</w:t>
            </w:r>
          </w:p>
        </w:tc>
      </w:tr>
      <w:tr>
        <w:tc>
          <w:tcPr>
            <w:tcW w:type="dxa" w:w="2880"/>
          </w:tcPr>
          <w:p>
            <w:r>
              <w:t>Surveys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/settings/surveys</w:t>
            </w:r>
            <w:r>
              <w:t xml:space="preserve"> (+ </w:t>
            </w:r>
            <w:r>
              <w:rPr>
                <w:rFonts w:ascii="Consolas" w:hAnsi="Consolas"/>
                <w:sz w:val="19"/>
              </w:rPr>
              <w:t>/field/survey/[id]</w:t>
            </w:r>
            <w:r>
              <w:t>)</w:t>
            </w:r>
          </w:p>
        </w:tc>
        <w:tc>
          <w:tcPr>
            <w:tcW w:type="dxa" w:w="2880"/>
          </w:tcPr>
          <w:p>
            <w:r>
              <w:t>Settings / Field</w:t>
            </w:r>
          </w:p>
        </w:tc>
      </w:tr>
      <w:tr>
        <w:tc>
          <w:tcPr>
            <w:tcW w:type="dxa" w:w="2880"/>
          </w:tcPr>
          <w:p>
            <w:r>
              <w:t>Loyalty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/pharmacy/loyalty</w:t>
            </w:r>
          </w:p>
        </w:tc>
        <w:tc>
          <w:tcPr>
            <w:tcW w:type="dxa" w:w="2880"/>
          </w:tcPr>
          <w:p>
            <w:r>
              <w:t>Pharmacy (module-locked)</w:t>
            </w:r>
          </w:p>
        </w:tc>
      </w:tr>
    </w:tbl>
    <w:p/>
    <w:p>
      <w:pPr>
        <w:pStyle w:val="ListBullet"/>
      </w:pPr>
      <w:r>
        <w:rPr>
          <w:b/>
        </w:rPr>
        <w:t>`/customers` is bespoke</w:t>
      </w:r>
      <w:r>
        <w:t xml:space="preserve"> (</w:t>
      </w:r>
      <w:r>
        <w:rPr>
          <w:rFonts w:ascii="Consolas" w:hAnsi="Consolas"/>
          <w:sz w:val="19"/>
        </w:rPr>
        <w:t>CustomersManager</w:t>
      </w:r>
      <w:r>
        <w:t>), not the AdminWorkbench pattern.</w:t>
      </w:r>
    </w:p>
    <w:p>
      <w:pPr>
        <w:pStyle w:val="ListBullet"/>
      </w:pPr>
      <w:r>
        <w:rPr>
          <w:b/>
        </w:rPr>
        <w:t>`/customers/layout.tsx` gates on `sales` only, not `crm`</w:t>
      </w:r>
      <w:r>
        <w:t xml:space="preserve"> — a latent gating inconsistency (a CRM-only tenant wouldn't see Customers). *Flagged, not changed (gate change is out of scope).*</w:t>
      </w:r>
    </w:p>
    <w:p>
      <w:pPr>
        <w:pStyle w:val="ListBullet"/>
      </w:pPr>
      <w:r>
        <w:rPr>
          <w:b/>
        </w:rPr>
        <w:t>Sales-funnel objects do not exist:</w:t>
      </w:r>
      <w:r>
        <w:t xml:space="preserve"> no Leads, Opportunities/Pipeline, Accounts, or Activities pages (the </w:t>
      </w:r>
      <w:r>
        <w:rPr>
          <w:rFonts w:ascii="Consolas" w:hAnsi="Consolas"/>
          <w:sz w:val="19"/>
        </w:rPr>
        <w:t>/contacts</w:t>
      </w:r>
      <w:r>
        <w:t xml:space="preserve"> dir is empty). The 360 timeline is </w:t>
      </w:r>
      <w:r>
        <w:rPr>
          <w:b/>
        </w:rPr>
        <w:t>financial-only</w:t>
      </w:r>
      <w:r>
        <w:t xml:space="preserve"> (invoices/payments), not interactions/requests/surveys.</w:t>
      </w:r>
    </w:p>
    <w:p>
      <w:pPr>
        <w:pStyle w:val="Heading3"/>
      </w:pPr>
      <w:r>
        <w:t>Recommendations — *consistency first, features later* (honoring the stated priority)</w:t>
      </w:r>
    </w:p>
    <w:p>
      <w:pPr>
        <w:pStyle w:val="ListBullet"/>
      </w:pPr>
      <w:r>
        <w:rPr>
          <w:b/>
        </w:rPr>
        <w:t>D-R1 (architecture/UX, reuse-only): a CRM umbrella that surfaces what already exists.</w:t>
      </w:r>
      <w:r>
        <w:t xml:space="preserve"> Introduce a coherent CRM grouping (a section or top-grouping) that *links* the already-built pages — Customers · Customer Requests · Credit Requests · Visit Outcomes · Surveys · Onboarding · Transfer — under one roof. </w:t>
      </w:r>
      <w:r>
        <w:rPr>
          <w:b/>
        </w:rPr>
        <w:t>Pure navigation reorganization; reuses existing pages; no new features, no logic/permission/RLS/workflow change.</w:t>
      </w:r>
      <w:r>
        <w:t xml:space="preserve"> This is the single highest-value CRM move and fits "consistency before features."</w:t>
      </w:r>
    </w:p>
    <w:p>
      <w:pPr>
        <w:pStyle w:val="ListBullet"/>
      </w:pPr>
      <w:r>
        <w:rPr>
          <w:b/>
        </w:rPr>
        <w:t>D-R2 (UX-standardization, sequence): migrate `/customers` to the AdminWorkbench pattern</w:t>
      </w:r>
      <w:r>
        <w:t xml:space="preserve"> (list + Customer360 facets), reusing existing actions/data — consistency with the other entity surfaces. Defer as its own task.</w:t>
      </w:r>
    </w:p>
    <w:p>
      <w:pPr>
        <w:pStyle w:val="ListBullet"/>
      </w:pPr>
      <w:r>
        <w:rPr>
          <w:b/>
        </w:rPr>
        <w:t>D-R3 (gating note):</w:t>
      </w:r>
      <w:r>
        <w:t xml:space="preserve"> reconcile </w:t>
      </w:r>
      <w:r>
        <w:rPr>
          <w:rFonts w:ascii="Consolas" w:hAnsi="Consolas"/>
          <w:sz w:val="19"/>
        </w:rPr>
        <w:t>customers/layout</w:t>
      </w:r>
      <w:r>
        <w:t xml:space="preserve"> gate (</w:t>
      </w:r>
      <w:r>
        <w:rPr>
          <w:rFonts w:ascii="Consolas" w:hAnsi="Consolas"/>
          <w:sz w:val="19"/>
        </w:rPr>
        <w:t>sales</w:t>
      </w:r>
      <w:r>
        <w:t xml:space="preserve"> vs </w:t>
      </w:r>
      <w:r>
        <w:rPr>
          <w:rFonts w:ascii="Consolas" w:hAnsi="Consolas"/>
          <w:sz w:val="19"/>
        </w:rPr>
        <w:t>crm</w:t>
      </w:r>
      <w:r>
        <w:t>) when permission changes are back in scope — *not now.*</w:t>
      </w:r>
    </w:p>
    <w:p>
      <w:pPr>
        <w:pStyle w:val="ListBullet"/>
      </w:pPr>
      <w:r>
        <w:rPr>
          <w:b/>
        </w:rPr>
        <w:t>D-R4 (FUTURE, design-first — explicitly NOT now): the CRM sales funnel.</w:t>
      </w:r>
      <w:r>
        <w:t xml:space="preserve"> Leads, Opportunities/Pipeline, Accounts, unified Activity timeline are </w:t>
      </w:r>
      <w:r>
        <w:rPr>
          <w:b/>
        </w:rPr>
        <w:t>new features</w:t>
      </w:r>
      <w:r>
        <w:t xml:space="preserve"> → out of scope under "architecture before features." Note: the data layer already has activity-like primitives (</w:t>
      </w:r>
      <w:r>
        <w:rPr>
          <w:rFonts w:ascii="Consolas" w:hAnsi="Consolas"/>
          <w:sz w:val="19"/>
        </w:rPr>
        <w:t>erp_customer_requests</w:t>
      </w:r>
      <w:r>
        <w:t xml:space="preserve">, </w:t>
      </w:r>
      <w:r>
        <w:rPr>
          <w:rFonts w:ascii="Consolas" w:hAnsi="Consolas"/>
          <w:sz w:val="19"/>
        </w:rPr>
        <w:t>erp_visit_outcomes</w:t>
      </w:r>
      <w:r>
        <w:t>, surveys, credit requests) a future unified timeline could consolidate. Treat as a separate, later, design-first workstream.</w:t>
      </w:r>
    </w:p>
    <w:p>
      <w:pPr>
        <w:pStyle w:val="Heading2"/>
      </w:pPr>
      <w:r>
        <w:rPr>
          <w:color w:val="1F497D"/>
        </w:rPr>
        <w:t>Prioritized roadmap (no implementation; for your selection)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Constraint posture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P1</w:t>
            </w:r>
          </w:p>
        </w:tc>
        <w:tc>
          <w:tcPr>
            <w:tcW w:type="dxa" w:w="1728"/>
          </w:tcPr>
          <w:p>
            <w:r>
              <w:t>De-duplicate the 4 shared label keys (A1)</w:t>
            </w:r>
          </w:p>
        </w:tc>
        <w:tc>
          <w:tcPr>
            <w:tcW w:type="dxa" w:w="1728"/>
          </w:tcPr>
          <w:p>
            <w:r>
              <w:t>Label-only (M2-style)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No gate/route change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P2</w:t>
            </w:r>
          </w:p>
        </w:tc>
        <w:tc>
          <w:tcPr>
            <w:tcW w:type="dxa" w:w="1728"/>
          </w:tcPr>
          <w:p>
            <w:r>
              <w:t>CRM umbrella surfacing existing pages (D-R1)</w:t>
            </w:r>
          </w:p>
        </w:tc>
        <w:tc>
          <w:tcPr>
            <w:tcW w:type="dxa" w:w="1728"/>
          </w:tcPr>
          <w:p>
            <w:r>
              <w:t>Nav reorg, reuse pages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No new features/logic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P3</w:t>
            </w:r>
          </w:p>
        </w:tc>
        <w:tc>
          <w:tcPr>
            <w:tcW w:type="dxa" w:w="1728"/>
          </w:tcPr>
          <w:p>
            <w:r>
              <w:t>Write the Admin Center container decision rule (B-R1) + add to the Navigation Constitution</w:t>
            </w:r>
          </w:p>
        </w:tc>
        <w:tc>
          <w:tcPr>
            <w:tcW w:type="dxa" w:w="1728"/>
          </w:tcPr>
          <w:p>
            <w:r>
              <w:t>Doc/governance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P4</w:t>
            </w:r>
          </w:p>
        </w:tc>
        <w:tc>
          <w:tcPr>
            <w:tcW w:type="dxa" w:w="1728"/>
          </w:tcPr>
          <w:p>
            <w:r>
              <w:t>Top-group Sales &amp; Distribution (A4/C2)</w:t>
            </w:r>
          </w:p>
        </w:tc>
        <w:tc>
          <w:tcPr>
            <w:tcW w:type="dxa" w:w="1728"/>
          </w:tcPr>
          <w:p>
            <w:r>
              <w:t>Nav (TopGroupingNav)</w:t>
            </w:r>
          </w:p>
        </w:tc>
        <w:tc>
          <w:tcPr>
            <w:tcW w:type="dxa" w:w="1728"/>
          </w:tcPr>
          <w:p>
            <w:r>
              <w:t>Low–Med</w:t>
            </w:r>
          </w:p>
        </w:tc>
        <w:tc>
          <w:tcPr>
            <w:tcW w:type="dxa" w:w="1728"/>
          </w:tcPr>
          <w:p>
            <w:r>
              <w:t>Reuse items; no logic change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P5</w:t>
            </w:r>
          </w:p>
        </w:tc>
        <w:tc>
          <w:tcPr>
            <w:tcW w:type="dxa" w:w="1728"/>
          </w:tcPr>
          <w:p>
            <w:r>
              <w:t xml:space="preserve">Align platform entity pages + </w:t>
            </w:r>
            <w:r>
              <w:rPr>
                <w:rFonts w:ascii="Consolas" w:hAnsi="Consolas"/>
                <w:sz w:val="19"/>
              </w:rPr>
              <w:t>/customers</w:t>
            </w:r>
            <w:r>
              <w:t xml:space="preserve"> to AdminWorkbench (B-R2, D-R2); unify list pagination (B-R3)</w:t>
            </w:r>
          </w:p>
        </w:tc>
        <w:tc>
          <w:tcPr>
            <w:tcW w:type="dxa" w:w="1728"/>
          </w:tcPr>
          <w:p>
            <w:r>
              <w:t>UX-standardization build</w:t>
            </w:r>
          </w:p>
        </w:tc>
        <w:tc>
          <w:tcPr>
            <w:tcW w:type="dxa" w:w="1728"/>
          </w:tcPr>
          <w:p>
            <w:r>
              <w:t>Med</w:t>
            </w:r>
          </w:p>
        </w:tc>
        <w:tc>
          <w:tcPr>
            <w:tcW w:type="dxa" w:w="1728"/>
          </w:tcPr>
          <w:p>
            <w:r>
              <w:t>Reuse actions; sequence individually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P6</w:t>
            </w:r>
          </w:p>
        </w:tc>
        <w:tc>
          <w:tcPr>
            <w:tcW w:type="dxa" w:w="1728"/>
          </w:tcPr>
          <w:p>
            <w:r>
              <w:t>CRM sales-funnel (Leads/Opportunities/Pipeline/Activities) (D-R4)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New feature — design-first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Deferred, separate workstream</w:t>
            </w:r>
          </w:p>
        </w:tc>
      </w:tr>
    </w:tbl>
    <w:p/>
    <w:p>
      <w:r>
        <w:rPr>
          <w:b/>
        </w:rPr>
        <w:t>Suggested order:</w:t>
      </w:r>
      <w:r>
        <w:t xml:space="preserve"> P1 + P3 first (safe, immediate), then P2 (CRM umbrella) and P4 (top-grouping) as reuse-only nav reorganizations, then P5 as sequenced UX-standardization tasks. P6 stays a future design-first workstream — consistent with *architecture &amp; UX consistency before new features.*</w:t>
      </w:r>
    </w:p>
    <w:p>
      <w:r>
        <w:t>M3 Settings page-merges remain deferred and independent of the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