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Simple Route Planner — MVP (P0–P3)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Simple Route Planner — MVP (P0–P3) Build &amp; JPFOOD Validation</w:t>
      </w:r>
    </w:p>
    <w:p>
      <w:r>
        <w:rPr>
          <w:b/>
        </w:rPr>
        <w:t>Scope delivered:</w:t>
      </w:r>
      <w:r>
        <w:t xml:space="preserve"> Upload → Split → Correct (on the map) → Approve → </w:t>
      </w:r>
      <w:r>
        <w:rPr>
          <w:b/>
        </w:rPr>
        <w:t>Route Excel export.</w:t>
      </w:r>
    </w:p>
    <w:p>
      <w:r>
        <w:rPr>
          <w:b/>
        </w:rPr>
        <w:t>Branch / PR:</w:t>
      </w:r>
      <w:r>
        <w:t xml:space="preserve"> </w:t>
      </w:r>
      <w:r>
        <w:rPr>
          <w:rFonts w:ascii="Consolas" w:hAnsi="Consolas"/>
          <w:sz w:val="19"/>
        </w:rPr>
        <w:t>claude/pilot-ux</w:t>
      </w:r>
      <w:r>
        <w:t xml:space="preserve"> · PR #319 · </w:t>
      </w:r>
      <w:r>
        <w:rPr>
          <w:b/>
        </w:rPr>
        <w:t>Date:</w:t>
      </w:r>
      <w:r>
        <w:t xml:space="preserve"> 2026-06-19</w:t>
      </w:r>
    </w:p>
    <w:p>
      <w:r>
        <w:rPr>
          <w:b/>
        </w:rPr>
        <w:t>Not in this delivery (held per approval):</w:t>
      </w:r>
      <w:r>
        <w:t xml:space="preserve"> P4–P5 Journey Planning (frequencies, day rules, sequence, journey export).</w:t>
      </w:r>
    </w:p>
    <w:p>
      <w:pPr>
        <w:pStyle w:val="Heading2"/>
      </w:pPr>
      <w:r>
        <w:rPr>
          <w:color w:val="1F497D"/>
        </w:rPr>
        <w:t>What a manager does</w:t>
      </w:r>
    </w:p>
    <w:p>
      <w:pPr>
        <w:pStyle w:val="ListNumber"/>
      </w:pPr>
      <w:r>
        <w:rPr>
          <w:b/>
        </w:rPr>
        <w:t>Upload</w:t>
      </w:r>
      <w:r>
        <w:t xml:space="preserve"> a customer file (CSV / Excel / JSON): customer code, name, latitude, longitude, and *optionally* existing route + frequency. Tolerant headers (latitude/lng, route, cadence…).</w:t>
      </w:r>
    </w:p>
    <w:p>
      <w:pPr>
        <w:pStyle w:val="ListNumber"/>
      </w:pPr>
      <w:r>
        <w:rPr>
          <w:b/>
        </w:rPr>
        <w:t>Enter a route count</w:t>
      </w:r>
      <w:r>
        <w:t xml:space="preserve"> and press </w:t>
      </w:r>
      <w:r>
        <w:rPr>
          <w:b/>
        </w:rPr>
        <w:t>Generate split</w:t>
      </w:r>
      <w:r>
        <w:t xml:space="preserve"> — a rough geographic first cut (one colour per route).</w:t>
      </w:r>
    </w:p>
    <w:p>
      <w:pPr>
        <w:pStyle w:val="ListNumber"/>
      </w:pPr>
      <w:r>
        <w:rPr>
          <w:b/>
        </w:rPr>
        <w:t>Correct it on the map</w:t>
      </w:r>
      <w:r>
        <w:t xml:space="preserve"> — </w:t>
      </w:r>
      <w:r>
        <w:rPr>
          <w:b/>
        </w:rPr>
        <w:t>click</w:t>
      </w:r>
      <w:r>
        <w:t xml:space="preserve"> a point to select, </w:t>
      </w:r>
      <w:r>
        <w:rPr>
          <w:b/>
        </w:rPr>
        <w:t>Shift-drag</w:t>
      </w:r>
      <w:r>
        <w:t xml:space="preserve"> a box to select many, pick a target route (or </w:t>
      </w:r>
      <w:r>
        <w:rPr>
          <w:b/>
        </w:rPr>
        <w:t>＋ New route</w:t>
      </w:r>
      <w:r>
        <w:t xml:space="preserve">), press </w:t>
      </w:r>
      <w:r>
        <w:rPr>
          <w:b/>
        </w:rPr>
        <w:t>Move</w:t>
      </w:r>
      <w:r>
        <w:t>. Colours update instantly.</w:t>
      </w:r>
    </w:p>
    <w:p>
      <w:pPr>
        <w:pStyle w:val="ListNumber"/>
      </w:pPr>
      <w:r>
        <w:rPr>
          <w:b/>
        </w:rPr>
        <w:t>Approve</w:t>
      </w:r>
      <w:r>
        <w:t xml:space="preserve"> the allocation.</w:t>
      </w:r>
    </w:p>
    <w:p>
      <w:pPr>
        <w:pStyle w:val="ListNumber"/>
      </w:pPr>
      <w:r>
        <w:rPr>
          <w:b/>
        </w:rPr>
        <w:t>Export routes to Excel</w:t>
      </w:r>
      <w:r>
        <w:t xml:space="preserve"> (native </w:t>
      </w:r>
      <w:r>
        <w:rPr>
          <w:rFonts w:ascii="Consolas" w:hAnsi="Consolas"/>
          <w:sz w:val="19"/>
        </w:rPr>
        <w:t>.xlsx</w:t>
      </w:r>
      <w:r>
        <w:t>).</w:t>
      </w:r>
    </w:p>
    <w:p>
      <w:r>
        <w:t xml:space="preserve">The </w:t>
      </w:r>
      <w:r>
        <w:rPr>
          <w:b/>
        </w:rPr>
        <w:t>route side panel</w:t>
      </w:r>
      <w:r>
        <w:t xml:space="preserve"> shows, per route: </w:t>
      </w:r>
      <w:r>
        <w:rPr>
          <w:b/>
        </w:rPr>
        <w:t>colour · customer count · weekly visit count · estimated workload (hours/week)</w:t>
      </w:r>
      <w:r>
        <w:t xml:space="preserve">, plus an </w:t>
      </w:r>
      <w:r>
        <w:rPr>
          <w:b/>
        </w:rPr>
        <w:t>Unassigned</w:t>
      </w:r>
      <w:r>
        <w:t xml:space="preserve"> row when relevant.</w:t>
      </w:r>
    </w:p>
    <w:p>
      <w:r>
        <w:rPr>
          <w:b/>
        </w:rPr>
        <w:t>Session-only:</w:t>
      </w:r>
      <w:r>
        <w:t xml:space="preserve"> nothing is read from or written to live company data — consistent with the whole TIS surface. Gated on </w:t>
      </w:r>
      <w:r>
        <w:rPr>
          <w:rFonts w:ascii="Consolas" w:hAnsi="Consolas"/>
          <w:sz w:val="19"/>
        </w:rPr>
        <w:t>reports.view</w:t>
      </w:r>
      <w:r>
        <w:t xml:space="preserve"> (the Sales Supervisor / Area Manager audience). Lives at </w:t>
      </w:r>
      <w:r>
        <w:rPr>
          <w:b/>
        </w:rPr>
        <w:t>`/distribution/route-planner`</w:t>
      </w:r>
      <w:r>
        <w:t>, beside the advanced screens (none changed).</w:t>
      </w:r>
    </w:p>
    <w:p>
      <w:pPr>
        <w:pStyle w:val="Heading2"/>
      </w:pPr>
      <w:r>
        <w:rPr>
          <w:color w:val="1F497D"/>
        </w:rPr>
        <w:t>Engine: deliberately simple</w:t>
      </w:r>
    </w:p>
    <w:p>
      <w:r>
        <w:rPr>
          <w:rFonts w:ascii="Consolas" w:hAnsi="Consolas"/>
          <w:sz w:val="19"/>
        </w:rPr>
        <w:t>simpleGeoSplit(customers, K)</w:t>
      </w:r>
      <w:r>
        <w:t xml:space="preserve"> orders customers along a </w:t>
      </w:r>
      <w:r>
        <w:rPr>
          <w:b/>
        </w:rPr>
        <w:t>Hilbert space-filling curve</w:t>
      </w:r>
      <w:r>
        <w:t xml:space="preserve"> (compact, locality-preserving) and cuts into </w:t>
      </w:r>
      <w:r>
        <w:rPr>
          <w:b/>
        </w:rPr>
        <w:t>exactly K</w:t>
      </w:r>
      <w:r>
        <w:t xml:space="preserve"> contiguous equal-count slices. No territory hard-partition, no absorption, no forced extra routes — the corridor-chaining complexity that defeats the advanced optimizer on nationwide data is intentionally </w:t>
      </w:r>
      <w:r>
        <w:rPr>
          <w:b/>
        </w:rPr>
        <w:t>out of scope</w:t>
      </w:r>
      <w:r>
        <w:t xml:space="preserve"> here, because the manager shapes the final boundaries by hand. *"Does not need to be perfect automatically; must be easy to review and adjust."*</w:t>
      </w:r>
    </w:p>
    <w:p>
      <w:pPr>
        <w:pStyle w:val="Heading2"/>
      </w:pPr>
      <w:r>
        <w:rPr>
          <w:color w:val="1F497D"/>
        </w:rPr>
        <w:t>JPFOOD validation (real dataset, 6,017 customers, all GPS-located)</w:t>
      </w:r>
    </w:p>
    <w:p>
      <w:r>
        <w:t xml:space="preserve">Full upload → split → </w:t>
      </w:r>
      <w:r>
        <w:rPr>
          <w:b/>
        </w:rPr>
        <w:t>move</w:t>
      </w:r>
      <w:r>
        <w:t xml:space="preserve"> → </w:t>
      </w:r>
      <w:r>
        <w:rPr>
          <w:b/>
        </w:rPr>
        <w:t>export (.xlsx) → re-parse</w:t>
      </w:r>
      <w:r>
        <w:t xml:space="preserve"> path, run headless on the real file: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fill="1F497D"/>
          </w:tcPr>
          <w:p>
            <w:r>
              <w:rPr>
                <w:b/>
                <w:color w:val="FFFFFF"/>
              </w:rPr>
              <w:t>Requested K</w:t>
            </w:r>
          </w:p>
        </w:tc>
        <w:tc>
          <w:tcPr>
            <w:tcW w:type="dxa" w:w="1234"/>
            <w:shd w:val="clear" w:fill="1F497D"/>
          </w:tcPr>
          <w:p>
            <w:r>
              <w:rPr>
                <w:b/>
                <w:color w:val="FFFFFF"/>
              </w:rPr>
              <w:t>Generated</w:t>
            </w:r>
          </w:p>
        </w:tc>
        <w:tc>
          <w:tcPr>
            <w:tcW w:type="dxa" w:w="1234"/>
            <w:shd w:val="clear" w:fill="1F497D"/>
          </w:tcPr>
          <w:p>
            <w:r>
              <w:rPr>
                <w:b/>
                <w:color w:val="FFFFFF"/>
              </w:rPr>
              <w:t>Exactly K?</w:t>
            </w:r>
          </w:p>
        </w:tc>
        <w:tc>
          <w:tcPr>
            <w:tcW w:type="dxa" w:w="1234"/>
            <w:shd w:val="clear" w:fill="1F497D"/>
          </w:tcPr>
          <w:p>
            <w:r>
              <w:rPr>
                <w:b/>
                <w:color w:val="FFFFFF"/>
              </w:rPr>
              <w:t>Unassigned</w:t>
            </w:r>
          </w:p>
        </w:tc>
        <w:tc>
          <w:tcPr>
            <w:tcW w:type="dxa" w:w="1234"/>
            <w:shd w:val="clear" w:fill="1F497D"/>
          </w:tcPr>
          <w:p>
            <w:r>
              <w:rPr>
                <w:b/>
                <w:color w:val="FFFFFF"/>
              </w:rPr>
              <w:t>Customers/route (min·avg·max)</w:t>
            </w:r>
          </w:p>
        </w:tc>
        <w:tc>
          <w:tcPr>
            <w:tcW w:type="dxa" w:w="1234"/>
            <w:shd w:val="clear" w:fill="1F497D"/>
          </w:tcPr>
          <w:p>
            <w:r>
              <w:rPr>
                <w:b/>
                <w:color w:val="FFFFFF"/>
              </w:rPr>
              <w:t>Workload balance</w:t>
            </w:r>
          </w:p>
        </w:tc>
        <w:tc>
          <w:tcPr>
            <w:tcW w:type="dxa" w:w="1234"/>
            <w:shd w:val="clear" w:fill="1F497D"/>
          </w:tcPr>
          <w:p>
            <w:r>
              <w:rPr>
                <w:b/>
                <w:color w:val="FFFFFF"/>
              </w:rPr>
              <w:t>Export rows (re-parsed)</w:t>
            </w:r>
          </w:p>
        </w:tc>
      </w:tr>
      <w:tr>
        <w:tc>
          <w:tcPr>
            <w:tcW w:type="dxa" w:w="1234"/>
          </w:tcPr>
          <w:p>
            <w:r>
              <w:t>40</w:t>
            </w:r>
          </w:p>
        </w:tc>
        <w:tc>
          <w:tcPr>
            <w:tcW w:type="dxa" w:w="1234"/>
          </w:tcPr>
          <w:p>
            <w:r>
              <w:t>40</w:t>
            </w:r>
          </w:p>
        </w:tc>
        <w:tc>
          <w:tcPr>
            <w:tcW w:type="dxa" w:w="1234"/>
          </w:tcPr>
          <w:p>
            <w:r>
              <w:t>✅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149 · 150 · 152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99.6%</w:t>
            </w:r>
          </w:p>
        </w:tc>
        <w:tc>
          <w:tcPr>
            <w:tcW w:type="dxa" w:w="1234"/>
          </w:tcPr>
          <w:p>
            <w:r>
              <w:t>6,017 ✅</w:t>
            </w:r>
          </w:p>
        </w:tc>
      </w:tr>
      <w:tr>
        <w:tc>
          <w:tcPr>
            <w:tcW w:type="dxa" w:w="1234"/>
          </w:tcPr>
          <w:p>
            <w:r>
              <w:t>86</w:t>
            </w:r>
          </w:p>
        </w:tc>
        <w:tc>
          <w:tcPr>
            <w:tcW w:type="dxa" w:w="1234"/>
          </w:tcPr>
          <w:p>
            <w:r>
              <w:t>86</w:t>
            </w:r>
          </w:p>
        </w:tc>
        <w:tc>
          <w:tcPr>
            <w:tcW w:type="dxa" w:w="1234"/>
          </w:tcPr>
          <w:p>
            <w:r>
              <w:t>✅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68 · 70 · 71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99.4%</w:t>
            </w:r>
          </w:p>
        </w:tc>
        <w:tc>
          <w:tcPr>
            <w:tcW w:type="dxa" w:w="1234"/>
          </w:tcPr>
          <w:p>
            <w:r>
              <w:t>6,017 ✅</w:t>
            </w:r>
          </w:p>
        </w:tc>
      </w:tr>
      <w:tr>
        <w:tc>
          <w:tcPr>
            <w:tcW w:type="dxa" w:w="1234"/>
          </w:tcPr>
          <w:p>
            <w:r>
              <w:t>120</w:t>
            </w:r>
          </w:p>
        </w:tc>
        <w:tc>
          <w:tcPr>
            <w:tcW w:type="dxa" w:w="1234"/>
          </w:tcPr>
          <w:p>
            <w:r>
              <w:t>120</w:t>
            </w:r>
          </w:p>
        </w:tc>
        <w:tc>
          <w:tcPr>
            <w:tcW w:type="dxa" w:w="1234"/>
          </w:tcPr>
          <w:p>
            <w:r>
              <w:t>✅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49 · 50 · 51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99.0%</w:t>
            </w:r>
          </w:p>
        </w:tc>
        <w:tc>
          <w:tcPr>
            <w:tcW w:type="dxa" w:w="1234"/>
          </w:tcPr>
          <w:p>
            <w:r>
              <w:t>6,017 ✅</w:t>
            </w:r>
          </w:p>
        </w:tc>
      </w:tr>
    </w:tbl>
    <w:p/>
    <w:p>
      <w:r>
        <w:rPr>
          <w:b/>
        </w:rPr>
        <w:t>Manual-correction check:</w:t>
      </w:r>
      <w:r>
        <w:t xml:space="preserve"> selected 50 customers from Route 1 and moved them to a new route →</w:t>
      </w:r>
    </w:p>
    <w:p>
      <w:r>
        <w:t xml:space="preserve">Route 1: 149 → </w:t>
      </w:r>
      <w:r>
        <w:rPr>
          <w:b/>
        </w:rPr>
        <w:t>99</w:t>
      </w:r>
      <w:r>
        <w:t xml:space="preserve">; new route: </w:t>
      </w:r>
      <w:r>
        <w:rPr>
          <w:b/>
        </w:rPr>
        <w:t>50</w:t>
      </w:r>
      <w:r>
        <w:t>; totals preserved. ✅</w:t>
      </w:r>
    </w:p>
    <w:p>
      <w:r>
        <w:rPr>
          <w:b/>
        </w:rPr>
        <w:t>Export proof:</w:t>
      </w:r>
      <w:r>
        <w:t xml:space="preserve"> the generated </w:t>
      </w:r>
      <w:r>
        <w:rPr>
          <w:rFonts w:ascii="Consolas" w:hAnsi="Consolas"/>
          <w:sz w:val="19"/>
        </w:rPr>
        <w:t>.xlsx</w:t>
      </w:r>
      <w:r>
        <w:t xml:space="preserve"> re-parses through the existing reader to all 6,017 rows with headers </w:t>
      </w:r>
      <w:r>
        <w:rPr>
          <w:rFonts w:ascii="Consolas" w:hAnsi="Consolas"/>
          <w:sz w:val="19"/>
        </w:rPr>
        <w:t>Route · Customer Code · Customer Name · Frequency · Latitude · Longitude</w:t>
      </w:r>
      <w:r>
        <w:t xml:space="preserve"> — so the file opens cleanly in Excel / Google Sheets and round-trips.</w:t>
      </w:r>
    </w:p>
    <w:p>
      <w:pPr>
        <w:ind w:left="360"/>
      </w:pPr>
      <w:r>
        <w:rPr>
          <w:i/>
        </w:rPr>
      </w:r>
      <w:r>
        <w:rPr>
          <w:i/>
        </w:rPr>
        <w:t xml:space="preserve">Artifact: </w:t>
      </w:r>
      <w:r>
        <w:rPr>
          <w:rFonts w:ascii="Consolas" w:hAnsi="Consolas"/>
          <w:i/>
          <w:sz w:val="19"/>
        </w:rPr>
        <w:t>docs/tis-demo/route-planner-validation.json</w:t>
      </w:r>
      <w:r>
        <w:rPr>
          <w:i/>
        </w:rPr>
        <w:t xml:space="preserve"> (generated headless from the real file; the JPFOOD workbook itself is </w:t>
      </w:r>
      <w:r>
        <w:rPr>
          <w:b/>
          <w:i/>
        </w:rPr>
        <w:t>not</w:t>
      </w:r>
      <w:r>
        <w:rPr>
          <w:i/>
        </w:rPr>
        <w:t xml:space="preserve"> committed — no PII).</w:t>
      </w:r>
    </w:p>
    <w:p>
      <w:pPr>
        <w:pStyle w:val="Heading2"/>
      </w:pPr>
      <w:r>
        <w:rPr>
          <w:color w:val="1F497D"/>
        </w:rPr>
        <w:t>What was reused vs. built</w:t>
      </w:r>
    </w:p>
    <w:p>
      <w:r>
        <w:rPr>
          <w:b/>
        </w:rPr>
        <w:t>Reused (most of it):</w:t>
      </w:r>
      <w:r>
        <w:t xml:space="preserve"> the TIS upload pipeline (</w:t>
      </w:r>
      <w:r>
        <w:rPr>
          <w:rFonts w:ascii="Consolas" w:hAnsi="Consolas"/>
          <w:sz w:val="19"/>
        </w:rPr>
        <w:t>parseTisUpload</w:t>
      </w:r>
      <w:r>
        <w:t xml:space="preserve">, </w:t>
      </w:r>
      <w:r>
        <w:rPr>
          <w:rFonts w:ascii="Consolas" w:hAnsi="Consolas"/>
          <w:sz w:val="19"/>
        </w:rPr>
        <w:t>buildTisDatasetFromRows</w:t>
      </w:r>
      <w:r>
        <w:t xml:space="preserve">), the canonical </w:t>
      </w:r>
      <w:r>
        <w:rPr>
          <w:rFonts w:ascii="Consolas" w:hAnsi="Consolas"/>
          <w:sz w:val="19"/>
        </w:rPr>
        <w:t>TisCustomer</w:t>
      </w:r>
      <w:r>
        <w:t>/</w:t>
      </w:r>
      <w:r>
        <w:rPr>
          <w:rFonts w:ascii="Consolas" w:hAnsi="Consolas"/>
          <w:sz w:val="19"/>
        </w:rPr>
        <w:t>TisDataset</w:t>
      </w:r>
      <w:r>
        <w:t xml:space="preserve"> model, the </w:t>
      </w:r>
      <w:r>
        <w:rPr>
          <w:rFonts w:ascii="Consolas" w:hAnsi="Consolas"/>
          <w:sz w:val="19"/>
        </w:rPr>
        <w:t>Scenario</w:t>
      </w:r>
      <w:r>
        <w:t xml:space="preserve"> + </w:t>
      </w:r>
      <w:r>
        <w:rPr>
          <w:rFonts w:ascii="Consolas" w:hAnsi="Consolas"/>
          <w:sz w:val="19"/>
        </w:rPr>
        <w:t>moveCustomer</w:t>
      </w:r>
      <w:r>
        <w:t xml:space="preserve"> edit engine, the Hilbert helper and </w:t>
      </w:r>
      <w:r>
        <w:rPr>
          <w:rFonts w:ascii="Consolas" w:hAnsi="Consolas"/>
          <w:sz w:val="19"/>
        </w:rPr>
        <w:t>customerWorkload</w:t>
      </w:r>
      <w:r>
        <w:t>/visit-duration engines, and the MapLibre OSM base.</w:t>
      </w:r>
    </w:p>
    <w:p>
      <w:r>
        <w:rPr>
          <w:b/>
        </w:rPr>
        <w:t>Built new (small, tested):</w:t>
      </w:r>
    </w:p>
    <w:p>
      <w:pPr>
        <w:pStyle w:val="ListBullet"/>
      </w:pPr>
      <w:r>
        <w:rPr>
          <w:rFonts w:ascii="Consolas" w:hAnsi="Consolas"/>
          <w:sz w:val="19"/>
        </w:rPr>
        <w:t>simpleGeoSplit</w:t>
      </w:r>
      <w:r>
        <w:t xml:space="preserve"> (exactly-K Hilbert equal-count cut) — </w:t>
      </w:r>
      <w:r>
        <w:rPr>
          <w:rFonts w:ascii="Consolas" w:hAnsi="Consolas"/>
          <w:sz w:val="19"/>
        </w:rPr>
        <w:t>src/lib/tis/optimize-routes.ts</w:t>
      </w:r>
      <w:r>
        <w:t>.</w:t>
      </w:r>
    </w:p>
    <w:p>
      <w:pPr>
        <w:pStyle w:val="ListBullet"/>
      </w:pPr>
      <w:r>
        <w:rPr>
          <w:rFonts w:ascii="Consolas" w:hAnsi="Consolas"/>
          <w:sz w:val="19"/>
        </w:rPr>
        <w:t>route-planner.ts</w:t>
      </w:r>
      <w:r>
        <w:t xml:space="preserve"> — </w:t>
      </w:r>
      <w:r>
        <w:rPr>
          <w:rFonts w:ascii="Consolas" w:hAnsi="Consolas"/>
          <w:sz w:val="19"/>
        </w:rPr>
        <w:t>routeStats</w:t>
      </w:r>
      <w:r>
        <w:t xml:space="preserve"> (count · weekly visits · workload hours · colour), </w:t>
      </w:r>
      <w:r>
        <w:rPr>
          <w:rFonts w:ascii="Consolas" w:hAnsi="Consolas"/>
          <w:sz w:val="19"/>
        </w:rPr>
        <w:t>routeExportRows</w:t>
      </w:r>
      <w:r>
        <w:t>.</w:t>
      </w:r>
    </w:p>
    <w:p>
      <w:pPr>
        <w:pStyle w:val="ListBullet"/>
      </w:pPr>
      <w:r>
        <w:rPr>
          <w:rFonts w:ascii="Consolas" w:hAnsi="Consolas"/>
          <w:sz w:val="19"/>
        </w:rPr>
        <w:t>xlsx-write.ts</w:t>
      </w:r>
      <w:r>
        <w:t xml:space="preserve"> — dependency-free, browser-safe </w:t>
      </w:r>
      <w:r>
        <w:rPr>
          <w:b/>
        </w:rPr>
        <w:t>native `.xlsx` writer</w:t>
      </w:r>
      <w:r>
        <w:t xml:space="preserve"> (STORED ZIP + CRC-32), the mirror of the existing reader.</w:t>
      </w:r>
    </w:p>
    <w:p>
      <w:pPr>
        <w:pStyle w:val="ListBullet"/>
      </w:pPr>
      <w:r>
        <w:rPr>
          <w:rFonts w:ascii="Consolas" w:hAnsi="Consolas"/>
          <w:sz w:val="19"/>
        </w:rPr>
        <w:t>selection-map.tsx</w:t>
      </w:r>
      <w:r>
        <w:t xml:space="preserve"> — MapLibre map with </w:t>
      </w:r>
      <w:r>
        <w:rPr>
          <w:b/>
        </w:rPr>
        <w:t>click-toggle + Shift-drag box select</w:t>
      </w:r>
      <w:r>
        <w:t xml:space="preserve"> and a selection ring.</w:t>
      </w:r>
    </w:p>
    <w:p>
      <w:pPr>
        <w:pStyle w:val="ListBullet"/>
      </w:pPr>
      <w:r>
        <w:rPr>
          <w:rFonts w:ascii="Consolas" w:hAnsi="Consolas"/>
          <w:sz w:val="19"/>
        </w:rPr>
        <w:t>route-planner-workspace.tsx</w:t>
      </w:r>
      <w:r>
        <w:t xml:space="preserve"> + </w:t>
      </w:r>
      <w:r>
        <w:rPr>
          <w:rFonts w:ascii="Consolas" w:hAnsi="Consolas"/>
          <w:sz w:val="19"/>
        </w:rPr>
        <w:t>page.tsx</w:t>
      </w:r>
      <w:r>
        <w:t xml:space="preserve"> — the manager surface; nav entry + </w:t>
      </w:r>
      <w:r>
        <w:rPr>
          <w:rFonts w:ascii="Consolas" w:hAnsi="Consolas"/>
          <w:sz w:val="19"/>
        </w:rPr>
        <w:t>routePlanner</w:t>
      </w:r>
      <w:r>
        <w:t xml:space="preserve"> i18n (ar/en symmetric).</w:t>
      </w:r>
    </w:p>
    <w:p>
      <w:r>
        <w:rPr>
          <w:b/>
        </w:rPr>
        <w:t>Tests:</w:t>
      </w:r>
      <w:r>
        <w:t xml:space="preserve"> 10 new unit tests (xlsx roundtrip, exactly-K, route stats, move, export) + the JPFOOD path; full suite </w:t>
      </w:r>
      <w:r>
        <w:rPr>
          <w:b/>
        </w:rPr>
        <w:t>806 passing</w:t>
      </w:r>
      <w:r>
        <w:t xml:space="preserve">, </w:t>
      </w:r>
      <w:r>
        <w:rPr>
          <w:rFonts w:ascii="Consolas" w:hAnsi="Consolas"/>
          <w:sz w:val="19"/>
        </w:rPr>
        <w:t>tsc</w:t>
      </w:r>
      <w:r>
        <w:t xml:space="preserve"> clean.</w:t>
      </w:r>
    </w:p>
    <w:p>
      <w:pPr>
        <w:pStyle w:val="Heading2"/>
      </w:pPr>
      <w:r>
        <w:rPr>
          <w:color w:val="1F497D"/>
        </w:rPr>
        <w:t>How to test it</w:t>
      </w:r>
    </w:p>
    <w:p>
      <w:pPr>
        <w:pStyle w:val="ListNumber"/>
      </w:pPr>
      <w:r>
        <w:t xml:space="preserve">Open </w:t>
      </w:r>
      <w:r>
        <w:rPr>
          <w:b/>
        </w:rPr>
        <w:t>Distribution → Route Planner</w:t>
      </w:r>
      <w:r>
        <w:t xml:space="preserve"> (</w:t>
      </w:r>
      <w:r>
        <w:rPr>
          <w:rFonts w:ascii="Consolas" w:hAnsi="Consolas"/>
          <w:sz w:val="19"/>
        </w:rPr>
        <w:t>/distribution/route-planner</w:t>
      </w:r>
      <w:r>
        <w:t>).</w:t>
      </w:r>
    </w:p>
    <w:p>
      <w:pPr>
        <w:pStyle w:val="ListNumber"/>
      </w:pPr>
      <w:r>
        <w:t xml:space="preserve">Upload a customer file (or </w:t>
      </w:r>
      <w:r>
        <w:rPr>
          <w:b/>
        </w:rPr>
        <w:t>Download template</w:t>
      </w:r>
      <w:r>
        <w:t xml:space="preserve"> for the column shape).</w:t>
      </w:r>
    </w:p>
    <w:p>
      <w:pPr>
        <w:pStyle w:val="ListNumber"/>
      </w:pPr>
      <w:r>
        <w:t xml:space="preserve">Enter a route count → </w:t>
      </w:r>
      <w:r>
        <w:rPr>
          <w:b/>
        </w:rPr>
        <w:t>Generate split</w:t>
      </w:r>
      <w:r>
        <w:t>.</w:t>
      </w:r>
    </w:p>
    <w:p>
      <w:pPr>
        <w:pStyle w:val="ListNumber"/>
      </w:pPr>
      <w:r>
        <w:rPr>
          <w:b/>
        </w:rPr>
        <w:t>Click</w:t>
      </w:r>
      <w:r>
        <w:t xml:space="preserve"> / </w:t>
      </w:r>
      <w:r>
        <w:rPr>
          <w:b/>
        </w:rPr>
        <w:t>Shift-drag</w:t>
      </w:r>
      <w:r>
        <w:t xml:space="preserve"> to select customers on the map → choose a route / </w:t>
      </w:r>
      <w:r>
        <w:rPr>
          <w:b/>
        </w:rPr>
        <w:t>New route</w:t>
      </w:r>
      <w:r>
        <w:t xml:space="preserve"> → </w:t>
      </w:r>
      <w:r>
        <w:rPr>
          <w:b/>
        </w:rPr>
        <w:t>Move</w:t>
      </w:r>
      <w:r>
        <w:t>. Watch the side-panel counts and colours update.</w:t>
      </w:r>
    </w:p>
    <w:p>
      <w:pPr>
        <w:pStyle w:val="ListNumber"/>
      </w:pPr>
      <w:r>
        <w:rPr>
          <w:b/>
        </w:rPr>
        <w:t>Approve</w:t>
      </w:r>
      <w:r>
        <w:t xml:space="preserve"> → </w:t>
      </w:r>
      <w:r>
        <w:rPr>
          <w:b/>
        </w:rPr>
        <w:t>Export routes (Excel)</w:t>
      </w:r>
      <w:r>
        <w:t>.</w:t>
      </w:r>
    </w:p>
    <w:p>
      <w:pPr>
        <w:pStyle w:val="Heading2"/>
      </w:pPr>
      <w:r>
        <w:rPr>
          <w:color w:val="1F497D"/>
        </w:rPr>
        <w:t>Next (await approval): P4–P5 Journey Planning</w:t>
      </w:r>
    </w:p>
    <w:p>
      <w:r>
        <w:t xml:space="preserve">Per-customer frequency (daily · 1–3×/wk · every-10-days · biweekly · monthly), day rules (weekly day pick; biweekly W1&amp;3 / W2&amp;4; 2–3×/wk auto-spread; capacity; same-day compactness), and the Journey Plan </w:t>
      </w:r>
      <w:r>
        <w:rPr>
          <w:rFonts w:ascii="Consolas" w:hAnsi="Consolas"/>
          <w:sz w:val="19"/>
        </w:rPr>
        <w:t>.xlsx</w:t>
      </w:r>
      <w:r>
        <w:t xml:space="preserve"> export. </w:t>
      </w:r>
      <w:r>
        <w:rPr>
          <w:b/>
        </w:rPr>
        <w:t>Not started</w:t>
      </w:r>
      <w:r>
        <w:t xml:space="preserve"> — pending your validation of this MVP.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