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Settings Re-chunk — Before/After &amp; UX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Settings Re-chunk — Before / After &amp; UX Review</w:t>
      </w:r>
    </w:p>
    <w:p>
      <w:pPr>
        <w:pStyle w:val="Heading3"/>
      </w:pPr>
      <w:r>
        <w:t>First implementation of the VANTORA Navigation Standard ("One rail, then rise")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Commit:</w:t>
      </w:r>
      <w:r>
        <w:t xml:space="preserve"> </w:t>
      </w:r>
      <w:r>
        <w:rPr>
          <w:rFonts w:ascii="Consolas" w:hAnsi="Consolas"/>
          <w:sz w:val="19"/>
        </w:rPr>
        <w:t>1457877</w:t>
      </w:r>
      <w:r>
        <w:t xml:space="preserve"> · </w:t>
      </w:r>
      <w:r>
        <w:rPr>
          <w:b/>
        </w:rPr>
        <w:t>Date:</w:t>
      </w:r>
      <w:r>
        <w:t xml:space="preserve"> 2026-06-18</w:t>
      </w:r>
    </w:p>
    <w:p>
      <w:r>
        <w:t>This documents the first approved implementation phase of the Navigation Constitution: the two platform primitives (</w:t>
      </w:r>
      <w:r>
        <w:rPr>
          <w:rFonts w:ascii="Consolas" w:hAnsi="Consolas"/>
          <w:sz w:val="19"/>
        </w:rPr>
        <w:t>ModulePage</w:t>
      </w:r>
      <w:r>
        <w:t xml:space="preserve">, </w:t>
      </w:r>
      <w:r>
        <w:rPr>
          <w:rFonts w:ascii="Consolas" w:hAnsi="Consolas"/>
          <w:sz w:val="19"/>
        </w:rPr>
        <w:t>TopGroupingNav</w:t>
      </w:r>
      <w:r>
        <w:t xml:space="preserve">) and the Settings hub re-chunk (≈21 flat pages → 5 top groups). </w:t>
      </w:r>
      <w:r>
        <w:rPr>
          <w:b/>
        </w:rPr>
        <w:t>UX standardization only — reuses existing components and actions; no business-logic, permission, RLS, or workflow change.</w:t>
      </w:r>
      <w:r>
        <w:t xml:space="preserve"> Validation gate: </w:t>
      </w:r>
      <w:r>
        <w:rPr>
          <w:b/>
        </w:rPr>
        <w:t>tsc clean · 1592 tests passed · build green.</w:t>
      </w:r>
    </w:p>
    <w:p>
      <w:pPr>
        <w:pStyle w:val="Heading2"/>
      </w:pPr>
      <w:r>
        <w:rPr>
          <w:color w:val="1F497D"/>
        </w:rPr>
        <w:t>1. What shipped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TopGroupingNav</w:t>
            </w:r>
            <w:r>
              <w:t xml:space="preserve"> primitive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src/components/admin/top-grouping-nav.tsx</w:t>
            </w:r>
          </w:p>
        </w:tc>
        <w:tc>
          <w:tcPr>
            <w:tcW w:type="dxa" w:w="2880"/>
          </w:tcPr>
          <w:p>
            <w:r>
              <w:t>Horizontal grouping (link + button modes); overflow menu for the 8–12 rule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ModulePage</w:t>
            </w:r>
            <w:r>
              <w:t xml:space="preserve"> primitive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src/components/admin/module-page.tsx</w:t>
            </w:r>
          </w:p>
        </w:tc>
        <w:tc>
          <w:tcPr>
            <w:tcW w:type="dxa" w:w="2880"/>
          </w:tcPr>
          <w:p>
            <w:r>
              <w:t xml:space="preserve">Page shell: title/actions + top-grouping nav slot + content. </w:t>
            </w:r>
            <w:r>
              <w:rPr>
                <w:b/>
              </w:rPr>
              <w:t>No side-rail slot</w:t>
            </w:r>
            <w:r>
              <w:t xml:space="preserve"> by construction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EntityTabs → delegates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src/components/admin/entity-detail.tsx</w:t>
            </w:r>
          </w:p>
        </w:tc>
        <w:tc>
          <w:tcPr>
            <w:tcW w:type="dxa" w:w="2880"/>
          </w:tcPr>
          <w:p>
            <w:r>
              <w:t>Record facets now use the same primitive (API unchanged)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Settings re-chunk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settings-sections.ts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settings-group-nav.tsx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settings/layout.tsx</w:t>
            </w:r>
          </w:p>
        </w:tc>
        <w:tc>
          <w:tcPr>
            <w:tcW w:type="dxa" w:w="2880"/>
          </w:tcPr>
          <w:p>
            <w:r>
              <w:t xml:space="preserve">5 top groups + active group's pages; old </w:t>
            </w:r>
            <w:r>
              <w:rPr>
                <w:rFonts w:ascii="Consolas" w:hAnsi="Consolas"/>
                <w:sz w:val="19"/>
              </w:rPr>
              <w:t>SettingsNav</w:t>
            </w:r>
            <w:r>
              <w:t xml:space="preserve"> side rail removed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i18n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settings-home.ts</w:t>
            </w:r>
          </w:p>
        </w:tc>
        <w:tc>
          <w:tcPr>
            <w:tcW w:type="dxa" w:w="2880"/>
          </w:tcPr>
          <w:p>
            <w:r>
              <w:t>5 group labels, ar/en parity</w:t>
            </w:r>
          </w:p>
        </w:tc>
      </w:tr>
    </w:tbl>
    <w:p/>
    <w:p>
      <w:pPr>
        <w:pStyle w:val="Heading2"/>
      </w:pPr>
      <w:r>
        <w:rPr>
          <w:color w:val="1F497D"/>
        </w:rPr>
        <w:t>2. Before → After</w:t>
      </w:r>
    </w:p>
    <w:p>
      <w:pPr>
        <w:pStyle w:val="Heading3"/>
      </w:pPr>
      <w:r>
        <w:t>BEFORE — persistent side rail (the layer the standard removes)</w:t>
      </w:r>
    </w:p>
    <w:p>
      <w:pPr>
        <w:ind w:left="240"/>
      </w:pPr>
      <w:r>
        <w:rPr>
          <w:rFonts w:ascii="Consolas" w:hAnsi="Consolas"/>
          <w:sz w:val="18"/>
        </w:rPr>
        <w:t>┌─ L0 Platform bar ───────────────────────────────────────────┐</w:t>
        <w:br/>
        <w:t>├──────────────┬──────────────────────────────────────────────┤</w:t>
        <w:br/>
        <w:t>│ L1 Module    │ ┌─ Settings side rail (230px) ─┐  Content     │</w:t>
        <w:br/>
        <w:t>│ rail         │ │ search                       │              │</w:t>
        <w:br/>
        <w:t>│              │ │ COMPANY                      │  (selected   │</w:t>
        <w:br/>
        <w:t>│              │ │  Branches · Finance          │   settings   │</w:t>
        <w:br/>
        <w:t>│              │ │  Tax · Numbering             │   page)      │</w:t>
        <w:br/>
        <w:t>│              │ │ PEOPLE                       │              │</w:t>
        <w:br/>
        <w:t>│              │ │  Users · Staff · Perms       │   &lt;- width   │</w:t>
        <w:br/>
        <w:t>│              │ │ ORG · PRODUCTS · WORKFLOWS   │      squeezed │</w:t>
        <w:br/>
        <w:t>│              │ │  ...18+ flat items, scrolls  │              │</w:t>
        <w:br/>
        <w:t>│              │ └──────────────────────────────┘              │</w:t>
        <w:br/>
        <w:t>└──────────────┴──────────────────────────────────────────────┘</w:t>
        <w:br/>
        <w:t xml:space="preserve">   two rails -&gt; ~470px chrome, 4-deep path</w:t>
      </w:r>
    </w:p>
    <w:p>
      <w:pPr>
        <w:pStyle w:val="Heading3"/>
      </w:pPr>
      <w:r>
        <w:t>AFTER — "One rail, then rise" (two-tier top grouping, no side rail)</w:t>
      </w:r>
    </w:p>
    <w:p>
      <w:pPr>
        <w:ind w:left="240"/>
      </w:pPr>
      <w:r>
        <w:rPr>
          <w:rFonts w:ascii="Consolas" w:hAnsi="Consolas"/>
          <w:sz w:val="18"/>
        </w:rPr>
        <w:t>┌─ L0 Platform bar ───────────────────────────────────────────┐</w:t>
        <w:br/>
        <w:t>├──────────────┬──────────────────────────────────────────────┤</w:t>
        <w:br/>
        <w:t>│ L1 Module    │ [ Organization | People &amp; Roles | Products &amp; │</w:t>
        <w:br/>
        <w:t>│ rail         │   Modules | Workflows | Integrations &amp; Data ]│  tier 1: groups</w:t>
        <w:br/>
        <w:t>│              │ [ Branches · Finance · Tax · Numbering ·     │</w:t>
        <w:br/>
        <w:t>│              │   Org Structure · Reporting · Regions ]      │  tier 2: active group's pages</w:t>
        <w:br/>
        <w:t>│              │ ──────────────────────────────────────────   │</w:t>
        <w:br/>
        <w:t>│              │  Content (full remaining width)              │</w:t>
        <w:br/>
        <w:t>└──────────────┴──────────────────────────────────────────────┘</w:t>
        <w:br/>
        <w:t xml:space="preserve">   one rail -&gt; ~240px chrome, 3-deep path, content gets the width back</w:t>
      </w:r>
    </w:p>
    <w:p>
      <w:pPr>
        <w:pStyle w:val="Heading2"/>
      </w:pPr>
      <w:r>
        <w:rPr>
          <w:color w:val="1F497D"/>
        </w:rPr>
        <w:t>3. The re-chunk (≈21 pages → 5 groups, ≤7 each)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Group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Pages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2880"/>
          </w:tcPr>
          <w:p>
            <w:r>
              <w:t>Branches · Finance · Tax Registrations · Numbering · Org Structure · Reporting · Regions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People &amp; Roles</w:t>
            </w:r>
          </w:p>
        </w:tc>
        <w:tc>
          <w:tcPr>
            <w:tcW w:type="dxa" w:w="2880"/>
          </w:tcPr>
          <w:p>
            <w:r>
              <w:t>Users · Staff · Permissions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Products &amp; Modules</w:t>
            </w:r>
          </w:p>
        </w:tc>
        <w:tc>
          <w:tcPr>
            <w:tcW w:type="dxa" w:w="2880"/>
          </w:tcPr>
          <w:p>
            <w:r>
              <w:t>Product Structure · Units of Measure · Features · Marketplace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Workflows</w:t>
            </w:r>
          </w:p>
        </w:tc>
        <w:tc>
          <w:tcPr>
            <w:tcW w:type="dxa" w:w="2880"/>
          </w:tcPr>
          <w:p>
            <w:r>
              <w:t>Approvals · Workflows · Workflow Templates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Integrations &amp; Data</w:t>
            </w:r>
          </w:p>
        </w:tc>
        <w:tc>
          <w:tcPr>
            <w:tcW w:type="dxa" w:w="2880"/>
          </w:tcPr>
          <w:p>
            <w:r>
              <w:t>Integration Hub · Import · Connections · Scheduled Sync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/>
    <w:p>
      <w:r>
        <w:t>Every group is within the ≤7 top-grouping threshold; the cardinality rule (Article III) is satisfied without an overflow menu in the common case.</w:t>
      </w:r>
    </w:p>
    <w:p>
      <w:pPr>
        <w:pStyle w:val="Heading2"/>
      </w:pPr>
      <w:r>
        <w:rPr>
          <w:color w:val="1F497D"/>
        </w:rPr>
        <w:t>4. UX review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Width reclaimed</w:t>
            </w:r>
          </w:p>
        </w:tc>
        <w:tc>
          <w:tcPr>
            <w:tcW w:type="dxa" w:w="4320"/>
          </w:tcPr>
          <w:p>
            <w:r>
              <w:t>~230px returned to content (one rail eliminated)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Depth</w:t>
            </w:r>
          </w:p>
        </w:tc>
        <w:tc>
          <w:tcPr>
            <w:tcW w:type="dxa" w:w="4320"/>
          </w:tcPr>
          <w:p>
            <w:r>
              <w:t>4 → 3 levels (Platform → Module → Top Grouping → Content)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Re-chunk</w:t>
            </w:r>
          </w:p>
        </w:tc>
        <w:tc>
          <w:tcPr>
            <w:tcW w:type="dxa" w:w="4320"/>
          </w:tcPr>
          <w:p>
            <w:r>
              <w:t>≈21 flat items → 5 groups (≤7 each)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Permission-aware</w:t>
            </w:r>
          </w:p>
        </w:tc>
        <w:tc>
          <w:tcPr>
            <w:tcW w:type="dxa" w:w="4320"/>
          </w:tcPr>
          <w:p>
            <w:r>
              <w:t xml:space="preserve">Unchanged — </w:t>
            </w:r>
            <w:r>
              <w:rPr>
                <w:rFonts w:ascii="Consolas" w:hAnsi="Consolas"/>
                <w:sz w:val="19"/>
              </w:rPr>
              <w:t>visibleSettingsGroups(allowedSettingsHrefs(ctx))</w:t>
            </w:r>
            <w:r>
              <w:t xml:space="preserve"> computed server-side; empty groups drop out; a user who can't see a group never sees its tab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state</w:t>
            </w:r>
          </w:p>
        </w:tc>
        <w:tc>
          <w:tcPr>
            <w:tcW w:type="dxa" w:w="4320"/>
          </w:tcPr>
          <w:p>
            <w:r>
              <w:t>Tier-1 group highlights when it contains the current route; tier-2 highlights the exact page; deep routes (</w:t>
            </w:r>
            <w:r>
              <w:rPr>
                <w:rFonts w:ascii="Consolas" w:hAnsi="Consolas"/>
                <w:sz w:val="19"/>
              </w:rPr>
              <w:t>/settings/workflows/templates</w:t>
            </w:r>
            <w:r>
              <w:t>) match via prefix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Pages unchanged</w:t>
            </w:r>
          </w:p>
        </w:tc>
        <w:tc>
          <w:tcPr>
            <w:tcW w:type="dxa" w:w="4320"/>
          </w:tcPr>
          <w:p>
            <w:r>
              <w:t>Every settings page renders verbatim in content — zero logic/permission/RLS/workflow 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Responsive</w:t>
            </w:r>
          </w:p>
        </w:tc>
        <w:tc>
          <w:tcPr>
            <w:tcW w:type="dxa" w:w="4320"/>
          </w:tcPr>
          <w:p>
            <w:r>
              <w:t>Both tiers are horizontally scrollable (tablet/mobile per the standard); tier-1 folds to a "More" menu past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Reuse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EntityTabs</w:t>
            </w:r>
            <w:r>
              <w:t xml:space="preserve"> now delegates to </w:t>
            </w:r>
            <w:r>
              <w:rPr>
                <w:rFonts w:ascii="Consolas" w:hAnsi="Consolas"/>
                <w:sz w:val="19"/>
              </w:rPr>
              <w:t>TopGroupingNav</w:t>
            </w:r>
            <w:r>
              <w:t xml:space="preserve">, so record facets and module sections share one primitive; </w:t>
            </w:r>
            <w:r>
              <w:rPr>
                <w:rFonts w:ascii="Consolas" w:hAnsi="Consolas"/>
                <w:sz w:val="19"/>
              </w:rPr>
              <w:t>ModulePage</w:t>
            </w:r>
            <w:r>
              <w:t xml:space="preserve"> exposes no side-rail prop</w:t>
            </w:r>
          </w:p>
        </w:tc>
      </w:tr>
    </w:tbl>
    <w:p/>
    <w:p>
      <w:r>
        <w:rPr>
          <w:b/>
        </w:rPr>
        <w:t>Governance win:</w:t>
      </w:r>
      <w:r>
        <w:t xml:space="preserve"> because </w:t>
      </w:r>
      <w:r>
        <w:rPr>
          <w:rFonts w:ascii="Consolas" w:hAnsi="Consolas"/>
          <w:sz w:val="19"/>
        </w:rPr>
        <w:t>ModulePage</w:t>
      </w:r>
      <w:r>
        <w:t xml:space="preserve"> exposes no secondary-rail slot, a future module physically cannot reintroduce the removed layer — the standard is enforced by the type signature, not a guideline. This is the mechanism that makes the Constitution mandatory-by-default for all future modules.</w:t>
      </w:r>
    </w:p>
    <w:p>
      <w:pPr>
        <w:pStyle w:val="Heading2"/>
      </w:pPr>
      <w:r>
        <w:rPr>
          <w:color w:val="1F497D"/>
        </w:rPr>
        <w:t>5. Live capture points (preview)</w:t>
      </w:r>
    </w:p>
    <w:p>
      <w:r>
        <w:t xml:space="preserve">Once the </w:t>
      </w:r>
      <w:r>
        <w:rPr>
          <w:rFonts w:ascii="Consolas" w:hAnsi="Consolas"/>
          <w:sz w:val="19"/>
        </w:rPr>
        <w:t>kako</w:t>
      </w:r>
      <w:r>
        <w:t xml:space="preserve"> preview is Ready on </w:t>
      </w:r>
      <w:r>
        <w:rPr>
          <w:rFonts w:ascii="Consolas" w:hAnsi="Consolas"/>
          <w:sz w:val="19"/>
        </w:rPr>
        <w:t>1457877</w:t>
      </w:r>
      <w:r>
        <w:t>, capture these to compare before/after (toggle EN/AR to verify RTL parity of both tiers):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…/settings</w:t>
            </w:r>
          </w:p>
        </w:tc>
        <w:tc>
          <w:tcPr>
            <w:tcW w:type="dxa" w:w="4320"/>
          </w:tcPr>
          <w:p>
            <w:r>
              <w:t>Groups row only; home grid below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…/settings/branches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Organization</w:t>
            </w:r>
            <w:r>
              <w:t xml:space="preserve"> active + pages row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…/settings/users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People &amp; Roles</w:t>
            </w:r>
            <w:r>
              <w:t xml:space="preserve"> active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…/settings/workflows/templates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Workflows</w:t>
            </w:r>
            <w:r>
              <w:t xml:space="preserve"> active, deep route highlighted</w:t>
            </w:r>
          </w:p>
        </w:tc>
      </w:tr>
    </w:tbl>
    <w:p/>
    <w:p>
      <w:pPr>
        <w:pStyle w:val="Heading2"/>
      </w:pPr>
      <w:r>
        <w:rPr>
          <w:color w:val="1F497D"/>
        </w:rPr>
        <w:t>6. Scope &amp; status</w:t>
      </w:r>
    </w:p>
    <w:p>
      <w:pPr>
        <w:pStyle w:val="ListBullet"/>
      </w:pPr>
      <w:r>
        <w:t>Scoped strictly to the three approved items (ModulePage, TopGroupingNav, Settings re-chunk). No other module touched.</w:t>
      </w:r>
    </w:p>
    <w:p>
      <w:pPr>
        <w:pStyle w:val="ListBullet"/>
      </w:pPr>
      <w:r>
        <w:t>Validation: tsc clean · suite 1592 passed / 192 skipped · build green.</w:t>
      </w:r>
    </w:p>
    <w:p>
      <w:pPr>
        <w:pStyle w:val="ListBullet"/>
      </w:pPr>
      <w:r>
        <w:t xml:space="preserve">The Navigation Standard is now mandatory-by-default for future modules via the </w:t>
      </w:r>
      <w:r>
        <w:rPr>
          <w:rFonts w:ascii="Consolas" w:hAnsi="Consolas"/>
          <w:sz w:val="19"/>
        </w:rPr>
        <w:t>ModulePage</w:t>
      </w:r>
      <w:r>
        <w:t xml:space="preserve"> shell.</w:t>
      </w:r>
    </w:p>
    <w:p>
      <w:r>
        <w:rPr>
          <w:b/>
        </w:rPr>
        <w:t>Next (on approval):</w:t>
      </w:r>
      <w:r>
        <w:t xml:space="preserve"> apply the standard to a future module (CRM is the natural first), and/or fold the Settings re-chunk into the broader Admin Center UX review package before the embedded </w:t>
      </w:r>
      <w:r>
        <w:rPr>
          <w:rFonts w:ascii="Consolas" w:hAnsi="Consolas"/>
          <w:sz w:val="19"/>
        </w:rPr>
        <w:t>/admin</w:t>
      </w:r>
      <w:r>
        <w:t xml:space="preserve"> shell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