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Settings Navigation Unification — M1+M2 Final UX Review Package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Settings Navigation Unification — M1 + M2 Final UX Review Package</w:t>
      </w:r>
    </w:p>
    <w:p>
      <w:pPr>
        <w:pStyle w:val="Heading3"/>
      </w:pPr>
      <w:r>
        <w:t>Single-source Settings navigation — validation, before/after, and parity proof</w:t>
      </w:r>
    </w:p>
    <w:p>
      <w:r>
        <w:rPr>
          <w:b/>
        </w:rPr>
        <w:t>Branch:</w:t>
      </w:r>
      <w:r>
        <w:t xml:space="preserve"> </w:t>
      </w:r>
      <w:r>
        <w:rPr>
          <w:rFonts w:ascii="Consolas" w:hAnsi="Consolas"/>
          <w:sz w:val="19"/>
        </w:rPr>
        <w:t>claude/pilot-ux</w:t>
      </w:r>
      <w:r>
        <w:t xml:space="preserve"> · </w:t>
      </w:r>
      <w:r>
        <w:rPr>
          <w:b/>
        </w:rPr>
        <w:t>PR:</w:t>
      </w:r>
      <w:r>
        <w:t xml:space="preserve"> #319 · </w:t>
      </w:r>
      <w:r>
        <w:rPr>
          <w:b/>
        </w:rPr>
        <w:t>Code commit:</w:t>
      </w:r>
      <w:r>
        <w:t xml:space="preserve"> </w:t>
      </w:r>
      <w:r>
        <w:rPr>
          <w:rFonts w:ascii="Consolas" w:hAnsi="Consolas"/>
          <w:sz w:val="19"/>
        </w:rPr>
        <w:t>7e277cf</w:t>
      </w:r>
      <w:r>
        <w:t xml:space="preserve"> · </w:t>
      </w:r>
      <w:r>
        <w:rPr>
          <w:b/>
        </w:rPr>
        <w:t>Date:</w:t>
      </w:r>
      <w:r>
        <w:t xml:space="preserve"> 2026-06-18</w:t>
      </w:r>
    </w:p>
    <w:p>
      <w:r>
        <w:t xml:space="preserve">Final package for the approved </w:t>
      </w:r>
      <w:r>
        <w:rPr>
          <w:b/>
        </w:rPr>
        <w:t>M1 (single catalog + sidebar collapse)</w:t>
      </w:r>
      <w:r>
        <w:t xml:space="preserve"> and </w:t>
      </w:r>
      <w:r>
        <w:rPr>
          <w:b/>
        </w:rPr>
        <w:t>M2 (label renames)</w:t>
      </w:r>
      <w:r>
        <w:t xml:space="preserve">. </w:t>
      </w:r>
      <w:r>
        <w:rPr>
          <w:b/>
        </w:rPr>
        <w:t>No M3 page-merges, no route changes.</w:t>
      </w:r>
      <w:r>
        <w:t xml:space="preserve"> Constraints honoured: no business-logic, permission, RLS, workflow, or route change. Priority respected: </w:t>
      </w:r>
      <w:r>
        <w:rPr>
          <w:b/>
        </w:rPr>
        <w:t>navigation consistency &gt; taxonomy clarity &gt; page consolidation.</w:t>
      </w:r>
    </w:p>
    <w:p>
      <w:pPr>
        <w:pStyle w:val="Heading2"/>
      </w:pPr>
      <w:r>
        <w:rPr>
          <w:color w:val="1F497D"/>
        </w:rPr>
        <w:t>1. Final validation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tsc --noEmit</w:t>
            </w:r>
          </w:p>
        </w:tc>
        <w:tc>
          <w:tcPr>
            <w:tcW w:type="dxa" w:w="4320"/>
          </w:tcPr>
          <w:p>
            <w:r>
              <w:t>✅ clean</w:t>
            </w:r>
          </w:p>
        </w:tc>
      </w:tr>
      <w:tr>
        <w:tc>
          <w:tcPr>
            <w:tcW w:type="dxa" w:w="4320"/>
          </w:tcPr>
          <w:p>
            <w:r>
              <w:t>Test suite (vitest)</w:t>
            </w:r>
          </w:p>
        </w:tc>
        <w:tc>
          <w:tcPr>
            <w:tcW w:type="dxa" w:w="4320"/>
          </w:tcPr>
          <w:p>
            <w:r>
              <w:t xml:space="preserve">✅ </w:t>
            </w:r>
            <w:r>
              <w:rPr>
                <w:b/>
              </w:rPr>
              <w:t>1592 passed</w:t>
            </w:r>
            <w:r>
              <w:t>, 192 skipped</w:t>
            </w:r>
          </w:p>
        </w:tc>
      </w:tr>
      <w:tr>
        <w:tc>
          <w:tcPr>
            <w:tcW w:type="dxa" w:w="4320"/>
          </w:tcPr>
          <w:p>
            <w:r>
              <w:t>Production build (</w:t>
            </w:r>
            <w:r>
              <w:rPr>
                <w:rFonts w:ascii="Consolas" w:hAnsi="Consolas"/>
                <w:sz w:val="19"/>
              </w:rPr>
              <w:t>next build</w:t>
            </w:r>
            <w:r>
              <w:t>)</w:t>
            </w:r>
          </w:p>
        </w:tc>
        <w:tc>
          <w:tcPr>
            <w:tcW w:type="dxa" w:w="4320"/>
          </w:tcPr>
          <w:p>
            <w:r>
              <w:t>✅ green</w:t>
            </w:r>
          </w:p>
        </w:tc>
      </w:tr>
      <w:tr>
        <w:tc>
          <w:tcPr>
            <w:tcW w:type="dxa" w:w="4320"/>
          </w:tcPr>
          <w:p>
            <w:r>
              <w:t>i18n key-usage + ar/en parity</w:t>
            </w:r>
          </w:p>
        </w:tc>
        <w:tc>
          <w:tcPr>
            <w:tcW w:type="dxa" w:w="4320"/>
          </w:tcPr>
          <w:p>
            <w:r>
              <w:t>✅ pass (part of suite)</w:t>
            </w:r>
          </w:p>
        </w:tc>
      </w:tr>
    </w:tbl>
    <w:p/>
    <w:p>
      <w:pPr>
        <w:pStyle w:val="Heading2"/>
      </w:pPr>
      <w:r>
        <w:rPr>
          <w:color w:val="1F497D"/>
        </w:rPr>
        <w:t>2. Confirmation — visibility, flags, platform-owner, permissions are IDENTICAL</w:t>
      </w:r>
    </w:p>
    <w:p>
      <w:r>
        <w:t xml:space="preserve">This is mechanically proven, not asserted. The Settings catalog is rendered by </w:t>
      </w:r>
      <w:r>
        <w:rPr>
          <w:rFonts w:ascii="Consolas" w:hAnsi="Consolas"/>
          <w:sz w:val="19"/>
        </w:rPr>
        <w:t>visibleSections(...)</w:t>
      </w:r>
      <w:r>
        <w:t xml:space="preserve">, which was </w:t>
      </w:r>
      <w:r>
        <w:rPr>
          <w:b/>
        </w:rPr>
        <w:t>not modified</w:t>
      </w:r>
      <w:r>
        <w:t xml:space="preserve">. M1/M2 changed only each settings item's </w:t>
      </w:r>
      <w:r>
        <w:rPr>
          <w:rFonts w:ascii="Consolas" w:hAnsi="Consolas"/>
          <w:sz w:val="19"/>
        </w:rPr>
        <w:t>group</w:t>
      </w:r>
      <w:r>
        <w:t xml:space="preserve"> value and two </w:t>
      </w:r>
      <w:r>
        <w:rPr>
          <w:rFonts w:ascii="Consolas" w:hAnsi="Consolas"/>
          <w:sz w:val="19"/>
        </w:rPr>
        <w:t>label</w:t>
      </w:r>
      <w:r>
        <w:t xml:space="preserve"> strings.</w:t>
      </w:r>
    </w:p>
    <w:p>
      <w:r>
        <w:rPr>
          <w:b/>
        </w:rPr>
        <w:t>Gate-diff proof</w:t>
      </w:r>
      <w:r>
        <w:t xml:space="preserve"> — extracted every settings entry's </w:t>
      </w:r>
      <w:r>
        <w:rPr>
          <w:rFonts w:ascii="Consolas" w:hAnsi="Consolas"/>
          <w:sz w:val="19"/>
        </w:rPr>
        <w:t>href</w:t>
      </w:r>
      <w:r>
        <w:t xml:space="preserve"> + gate fields (</w:t>
      </w:r>
      <w:r>
        <w:rPr>
          <w:rFonts w:ascii="Consolas" w:hAnsi="Consolas"/>
          <w:sz w:val="19"/>
        </w:rPr>
        <w:t>perm</w:t>
      </w:r>
      <w:r>
        <w:t xml:space="preserve">, </w:t>
      </w:r>
      <w:r>
        <w:rPr>
          <w:rFonts w:ascii="Consolas" w:hAnsi="Consolas"/>
          <w:sz w:val="19"/>
        </w:rPr>
        <w:t>superAdminOnly</w:t>
      </w:r>
      <w:r>
        <w:t xml:space="preserve">, </w:t>
      </w:r>
      <w:r>
        <w:rPr>
          <w:rFonts w:ascii="Consolas" w:hAnsi="Consolas"/>
          <w:sz w:val="19"/>
        </w:rPr>
        <w:t>module</w:t>
      </w:r>
      <w:r>
        <w:t xml:space="preserve">, </w:t>
      </w:r>
      <w:r>
        <w:rPr>
          <w:rFonts w:ascii="Consolas" w:hAnsi="Consolas"/>
          <w:sz w:val="19"/>
        </w:rPr>
        <w:t>flag</w:t>
      </w:r>
      <w:r>
        <w:t xml:space="preserve">, </w:t>
      </w:r>
      <w:r>
        <w:rPr>
          <w:rFonts w:ascii="Consolas" w:hAnsi="Consolas"/>
          <w:sz w:val="19"/>
        </w:rPr>
        <w:t>showForPlatformOwner</w:t>
      </w:r>
      <w:r>
        <w:t xml:space="preserve">, </w:t>
      </w:r>
      <w:r>
        <w:rPr>
          <w:rFonts w:ascii="Consolas" w:hAnsi="Consolas"/>
          <w:sz w:val="19"/>
        </w:rPr>
        <w:t>platformOwnerOnly</w:t>
      </w:r>
      <w:r>
        <w:t>) from BEFORE (</w:t>
      </w:r>
      <w:r>
        <w:rPr>
          <w:rFonts w:ascii="Consolas" w:hAnsi="Consolas"/>
          <w:sz w:val="19"/>
        </w:rPr>
        <w:t>8d27a93</w:t>
      </w:r>
      <w:r>
        <w:t>, pre-M1) and AFTER (</w:t>
      </w:r>
      <w:r>
        <w:rPr>
          <w:rFonts w:ascii="Consolas" w:hAnsi="Consolas"/>
          <w:sz w:val="19"/>
        </w:rPr>
        <w:t>7e277cf</w:t>
      </w:r>
      <w:r>
        <w:t xml:space="preserve">), stripped </w:t>
      </w:r>
      <w:r>
        <w:rPr>
          <w:rFonts w:ascii="Consolas" w:hAnsi="Consolas"/>
          <w:sz w:val="19"/>
        </w:rPr>
        <w:t>label</w:t>
      </w:r>
      <w:r>
        <w:t>/</w:t>
      </w:r>
      <w:r>
        <w:rPr>
          <w:rFonts w:ascii="Consolas" w:hAnsi="Consolas"/>
          <w:sz w:val="19"/>
        </w:rPr>
        <w:t>group</w:t>
      </w:r>
      <w:r>
        <w:t>, sorted, and diffed:</w:t>
      </w:r>
    </w:p>
    <w:p>
      <w:pPr>
        <w:ind w:left="240"/>
      </w:pPr>
      <w:r>
        <w:rPr>
          <w:rFonts w:ascii="Consolas" w:hAnsi="Consolas"/>
          <w:sz w:val="18"/>
        </w:rPr>
        <w:t>=== DIFF of gate fields (BEFORE vs AFTER) ===</w:t>
        <w:br/>
        <w:t>&gt;&gt;&gt; IDENTICAL: no gate/href added, removed, or changed.</w:t>
        <w:br/>
        <w:t>=== page count: before 42  ·  after 42 ===</w:t>
      </w:r>
    </w:p>
    <w:p>
      <w:r>
        <w:t>Therefore:</w:t>
      </w:r>
    </w:p>
    <w:p>
      <w:pPr>
        <w:pStyle w:val="ListBullet"/>
      </w:pPr>
      <w:r>
        <w:rPr>
          <w:b/>
        </w:rPr>
        <w:t>Visibility</w:t>
      </w:r>
      <w:r>
        <w:t xml:space="preserve"> — same </w:t>
      </w:r>
      <w:r>
        <w:rPr>
          <w:rFonts w:ascii="Consolas" w:hAnsi="Consolas"/>
          <w:sz w:val="19"/>
        </w:rPr>
        <w:t>visibleSections</w:t>
      </w:r>
      <w:r>
        <w:t xml:space="preserve"> engine, same inputs → identical per-user result.</w:t>
      </w:r>
    </w:p>
    <w:p>
      <w:pPr>
        <w:pStyle w:val="ListBullet"/>
      </w:pPr>
      <w:r>
        <w:rPr>
          <w:b/>
        </w:rPr>
        <w:t>Flags</w:t>
      </w:r>
      <w:r>
        <w:t xml:space="preserve"> — </w:t>
      </w:r>
      <w:r>
        <w:rPr>
          <w:rFonts w:ascii="Consolas" w:hAnsi="Consolas"/>
          <w:sz w:val="19"/>
        </w:rPr>
        <w:t>flag: 'van_sales'</w:t>
      </w:r>
      <w:r>
        <w:t xml:space="preserve"> (and all flag handling) unchanged; the in-page nav resolves the *same* </w:t>
      </w:r>
      <w:r>
        <w:rPr>
          <w:rFonts w:ascii="Consolas" w:hAnsi="Consolas"/>
          <w:sz w:val="19"/>
        </w:rPr>
        <w:t>navFlags</w:t>
      </w:r>
      <w:r>
        <w:t xml:space="preserve"> the sidebar uses (</w:t>
      </w:r>
      <w:r>
        <w:rPr>
          <w:rFonts w:ascii="Consolas" w:hAnsi="Consolas"/>
          <w:sz w:val="19"/>
        </w:rPr>
        <w:t>enabledNavFlags()</w:t>
      </w:r>
      <w:r>
        <w:t xml:space="preserve"> + tenant feature flags).</w:t>
      </w:r>
    </w:p>
    <w:p>
      <w:pPr>
        <w:pStyle w:val="ListBullet"/>
      </w:pPr>
      <w:r>
        <w:rPr>
          <w:b/>
        </w:rPr>
        <w:t>Platform-owner rules</w:t>
      </w:r>
      <w:r>
        <w:t xml:space="preserve"> — </w:t>
      </w:r>
      <w:r>
        <w:rPr>
          <w:rFonts w:ascii="Consolas" w:hAnsi="Consolas"/>
          <w:sz w:val="19"/>
        </w:rPr>
        <w:t>showForPlatformOwner</w:t>
      </w:r>
      <w:r>
        <w:t xml:space="preserve"> / </w:t>
      </w:r>
      <w:r>
        <w:rPr>
          <w:rFonts w:ascii="Consolas" w:hAnsi="Consolas"/>
          <w:sz w:val="19"/>
        </w:rPr>
        <w:t>platformOwnerOnly</w:t>
      </w:r>
      <w:r>
        <w:t xml:space="preserve"> unchanged; platform-owner branch of </w:t>
      </w:r>
      <w:r>
        <w:rPr>
          <w:rFonts w:ascii="Consolas" w:hAnsi="Consolas"/>
          <w:sz w:val="19"/>
        </w:rPr>
        <w:t>visibleSections</w:t>
      </w:r>
      <w:r>
        <w:t xml:space="preserve"> untouched.</w:t>
      </w:r>
    </w:p>
    <w:p>
      <w:pPr>
        <w:pStyle w:val="ListBullet"/>
      </w:pPr>
      <w:r>
        <w:rPr>
          <w:b/>
        </w:rPr>
        <w:t>Permissions</w:t>
      </w:r>
      <w:r>
        <w:t xml:space="preserve"> — every </w:t>
      </w:r>
      <w:r>
        <w:rPr>
          <w:rFonts w:ascii="Consolas" w:hAnsi="Consolas"/>
          <w:sz w:val="19"/>
        </w:rPr>
        <w:t>perm</w:t>
      </w:r>
      <w:r>
        <w:t xml:space="preserve"> / </w:t>
      </w:r>
      <w:r>
        <w:rPr>
          <w:rFonts w:ascii="Consolas" w:hAnsi="Consolas"/>
          <w:sz w:val="19"/>
        </w:rPr>
        <w:t>superAdminOnly</w:t>
      </w:r>
      <w:r>
        <w:t xml:space="preserve"> byte-identical; no route changed, so RLS/server gates are reached exactly as before.</w:t>
      </w:r>
    </w:p>
    <w:p>
      <w:r>
        <w:rPr>
          <w:b/>
        </w:rPr>
        <w:t>Net:</w:t>
      </w:r>
      <w:r>
        <w:t xml:space="preserve"> the change is presentational/structural only. No user gains or loses access to any page.</w:t>
      </w:r>
    </w:p>
    <w:p>
      <w:pPr>
        <w:pStyle w:val="Heading2"/>
      </w:pPr>
      <w:r>
        <w:rPr>
          <w:color w:val="1F497D"/>
        </w:rPr>
        <w:t>3. Before → After (structure)</w:t>
      </w:r>
    </w:p>
    <w:p>
      <w:pPr>
        <w:ind w:left="240"/>
      </w:pPr>
      <w:r>
        <w:rPr>
          <w:rFonts w:ascii="Consolas" w:hAnsi="Consolas"/>
          <w:sz w:val="18"/>
        </w:rPr>
        <w:t>BEFORE                                   AFTER</w:t>
        <w:br/>
        <w:t>Sidebar: Settings (38 items, 6 groups)   Sidebar: "Settings"  (1 link)</w:t>
        <w:br/>
        <w:t xml:space="preserve">   +                                        └ In-page Top Grouping (one catalog):</w:t>
        <w:br/>
        <w:t>In-page top grouping (20 items, 5           7 canonical groups, permission-aware,</w:t>
        <w:br/>
        <w:t xml:space="preserve">   groups, different routes)                group ≠ page everywhere</w:t>
        <w:br/>
        <w:t>= two taxonomies                         = one taxonomy, one vocabulary</w:t>
      </w:r>
    </w:p>
    <w:p>
      <w:r>
        <w:t>The single catalog (</w:t>
      </w:r>
      <w:r>
        <w:rPr>
          <w:rFonts w:ascii="Consolas" w:hAnsi="Consolas"/>
          <w:sz w:val="19"/>
        </w:rPr>
        <w:t>navigation.ts</w:t>
      </w:r>
      <w:r>
        <w:t xml:space="preserve">) now feeds </w:t>
      </w:r>
      <w:r>
        <w:rPr>
          <w:b/>
        </w:rPr>
        <w:t>both</w:t>
      </w:r>
      <w:r>
        <w:t xml:space="preserve"> the in-page Top Grouping and the Settings home grid via one server helper (</w:t>
      </w:r>
      <w:r>
        <w:rPr>
          <w:rFonts w:ascii="Consolas" w:hAnsi="Consolas"/>
          <w:sz w:val="19"/>
        </w:rPr>
        <w:t>resolveSettingsNavGroups</w:t>
      </w:r>
      <w:r>
        <w:t>). The sidebar collapses to a single link; the command palette still indexes every settings page (search ≠ nav).</w:t>
      </w:r>
    </w:p>
    <w:p>
      <w:pPr>
        <w:pStyle w:val="Heading2"/>
      </w:pPr>
      <w:r>
        <w:rPr>
          <w:color w:val="1F497D"/>
        </w:rPr>
        <w:t>4. Canonical groups &amp; approved naming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Group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Organization</w:t>
            </w:r>
          </w:p>
        </w:tc>
        <w:tc>
          <w:tcPr>
            <w:tcW w:type="dxa" w:w="4320"/>
          </w:tcPr>
          <w:p>
            <w:r>
              <w:t xml:space="preserve">incl. </w:t>
            </w:r>
            <w:r>
              <w:rPr>
                <w:b/>
              </w:rPr>
              <w:t>Reporting Lines</w:t>
            </w:r>
            <w:r>
              <w:t xml:space="preserve"> (renamed from "Organization")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Finance &amp; Compliance</w:t>
            </w:r>
          </w:p>
        </w:tc>
        <w:tc>
          <w:tcPr>
            <w:tcW w:type="dxa" w:w="4320"/>
          </w:tcPr>
          <w:p>
            <w:r>
              <w:t>renamed from "Finance &amp; Numbering"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People &amp; Roles</w:t>
            </w:r>
          </w:p>
        </w:tc>
        <w:tc>
          <w:tcPr>
            <w:tcW w:type="dxa" w:w="4320"/>
          </w:tcPr>
          <w:p>
            <w:r>
              <w:t>folds the old "Governance" access pages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Products &amp; Data</w:t>
            </w:r>
          </w:p>
        </w:tc>
        <w:tc>
          <w:tcPr>
            <w:tcW w:type="dxa" w:w="4320"/>
          </w:tcPr>
          <w:p>
            <w:r>
              <w:t>your approved name (was "Catalog &amp; Fields")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Automation &amp; Policies</w:t>
            </w:r>
          </w:p>
        </w:tc>
        <w:tc>
          <w:tcPr>
            <w:tcW w:type="dxa" w:w="4320"/>
          </w:tcPr>
          <w:p>
            <w:r>
              <w:t>group ≠ page "Workflows" (resolves the stutter at the group level)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Integrations</w:t>
            </w:r>
          </w:p>
        </w:tc>
        <w:tc>
          <w:tcPr>
            <w:tcW w:type="dxa" w:w="4320"/>
          </w:tcPr>
          <w:p>
            <w:r>
              <w:t xml:space="preserve">incl. </w:t>
            </w:r>
            <w:r>
              <w:rPr>
                <w:b/>
              </w:rPr>
              <w:t>Connections</w:t>
            </w:r>
            <w:r>
              <w:t xml:space="preserve"> (renamed from "Integrations"/"Data Import &amp; Integrations")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Personal</w:t>
            </w:r>
          </w:p>
        </w:tc>
        <w:tc>
          <w:tcPr>
            <w:tcW w:type="dxa" w:w="4320"/>
          </w:tcPr>
          <w:p>
            <w:r>
              <w:t>interim; relocation is M4 (deferred)</w:t>
            </w:r>
          </w:p>
        </w:tc>
      </w:tr>
    </w:tbl>
    <w:p/>
    <w:p>
      <w:r>
        <w:t>Unified vocabulary principles VP1–VP4 are in force (operational ≠ configuration; group ≠ page; no label repeats in a path; one catalog).</w:t>
      </w:r>
    </w:p>
    <w:p>
      <w:pPr>
        <w:pStyle w:val="Heading2"/>
      </w:pPr>
      <w:r>
        <w:rPr>
          <w:color w:val="1F497D"/>
        </w:rPr>
        <w:t>5. Before/After screenshots — capture points</w:t>
      </w:r>
    </w:p>
    <w:p>
      <w:r>
        <w:t>Authenticated screenshots can't be captured from the build sandbox; these are the exact shots to take on the live preview (</w:t>
      </w:r>
      <w:r>
        <w:rPr>
          <w:rFonts w:ascii="Consolas" w:hAnsi="Consolas"/>
          <w:sz w:val="19"/>
        </w:rPr>
        <w:t>kako</w:t>
      </w:r>
      <w:r>
        <w:t xml:space="preserve">, commit </w:t>
      </w:r>
      <w:r>
        <w:rPr>
          <w:rFonts w:ascii="Consolas" w:hAnsi="Consolas"/>
          <w:sz w:val="19"/>
        </w:rPr>
        <w:t>7e277cf</w:t>
      </w:r>
      <w:r>
        <w:t>). Toggle EN/AR to verify both tiers + renames in RTL.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BEFORE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AFTER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…/settings</w:t>
            </w:r>
          </w:p>
        </w:tc>
        <w:tc>
          <w:tcPr>
            <w:tcW w:type="dxa" w:w="2880"/>
          </w:tcPr>
          <w:p>
            <w:r>
              <w:t>sidebar lists ~38 settings items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sidebar: single "Settings"</w:t>
            </w:r>
            <w:r>
              <w:t>; grid grouped by 7 canonical groups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…/settings/branches</w:t>
            </w:r>
          </w:p>
        </w:tc>
        <w:tc>
          <w:tcPr>
            <w:tcW w:type="dxa" w:w="2880"/>
          </w:tcPr>
          <w:p>
            <w:r>
              <w:t>sidebar "Organization" subsection</w:t>
            </w:r>
          </w:p>
        </w:tc>
        <w:tc>
          <w:tcPr>
            <w:tcW w:type="dxa" w:w="2880"/>
          </w:tcPr>
          <w:p>
            <w:r>
              <w:t xml:space="preserve">top nav: </w:t>
            </w:r>
            <w:r>
              <w:rPr>
                <w:b/>
              </w:rPr>
              <w:t>Organization</w:t>
            </w:r>
            <w:r>
              <w:t xml:space="preserve"> active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…/settings/organization</w:t>
            </w:r>
          </w:p>
        </w:tc>
        <w:tc>
          <w:tcPr>
            <w:tcW w:type="dxa" w:w="2880"/>
          </w:tcPr>
          <w:p>
            <w:r>
              <w:t>"Organization"</w:t>
            </w:r>
          </w:p>
        </w:tc>
        <w:tc>
          <w:tcPr>
            <w:tcW w:type="dxa" w:w="2880"/>
          </w:tcPr>
          <w:p>
            <w:r>
              <w:t xml:space="preserve">labelled </w:t>
            </w:r>
            <w:r>
              <w:rPr>
                <w:b/>
              </w:rPr>
              <w:t>Reporting Lines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…/settings/integrations</w:t>
            </w:r>
          </w:p>
        </w:tc>
        <w:tc>
          <w:tcPr>
            <w:tcW w:type="dxa" w:w="2880"/>
          </w:tcPr>
          <w:p>
            <w:r>
              <w:t>"Data Import &amp; Integrations"</w:t>
            </w:r>
          </w:p>
        </w:tc>
        <w:tc>
          <w:tcPr>
            <w:tcW w:type="dxa" w:w="2880"/>
          </w:tcPr>
          <w:p>
            <w:r>
              <w:t xml:space="preserve">labelled </w:t>
            </w:r>
            <w:r>
              <w:rPr>
                <w:b/>
              </w:rPr>
              <w:t>Connections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…/settings/approval-matrix</w:t>
            </w:r>
          </w:p>
        </w:tc>
        <w:tc>
          <w:tcPr>
            <w:tcW w:type="dxa" w:w="2880"/>
          </w:tcPr>
          <w:p>
            <w:r>
              <w:t>sidebar "Governance"</w:t>
            </w:r>
          </w:p>
        </w:tc>
        <w:tc>
          <w:tcPr>
            <w:tcW w:type="dxa" w:w="2880"/>
          </w:tcPr>
          <w:p>
            <w:r>
              <w:t xml:space="preserve">top nav </w:t>
            </w:r>
            <w:r>
              <w:rPr>
                <w:b/>
              </w:rPr>
              <w:t>Automation &amp; Policies</w:t>
            </w:r>
            <w:r>
              <w:t xml:space="preserve"> active (group ≠ page)</w:t>
            </w:r>
          </w:p>
        </w:tc>
      </w:tr>
    </w:tbl>
    <w:p/>
    <w:p>
      <w:pPr>
        <w:pStyle w:val="Heading2"/>
      </w:pPr>
      <w:r>
        <w:rPr>
          <w:color w:val="1F497D"/>
        </w:rPr>
        <w:t>6. UX review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Navigation consistency (top priority)</w:t>
            </w:r>
          </w:p>
        </w:tc>
        <w:tc>
          <w:tcPr>
            <w:tcW w:type="dxa" w:w="4320"/>
          </w:tcPr>
          <w:p>
            <w:r>
              <w:t>✅ One Settings navigator; sidebar no longer re-lists pages; consistent with the Top Grouping standard</w:t>
            </w:r>
          </w:p>
        </w:tc>
      </w:tr>
      <w:tr>
        <w:tc>
          <w:tcPr>
            <w:tcW w:type="dxa" w:w="4320"/>
          </w:tcPr>
          <w:p>
            <w:r>
              <w:t>Duplication / the "Approvals → Routes" stutter</w:t>
            </w:r>
          </w:p>
        </w:tc>
        <w:tc>
          <w:tcPr>
            <w:tcW w:type="dxa" w:w="4320"/>
          </w:tcPr>
          <w:p>
            <w:r>
              <w:t>✅ Removed at the catalog + group level (page-tab stutter is M3, deferred)</w:t>
            </w:r>
          </w:p>
        </w:tc>
      </w:tr>
      <w:tr>
        <w:tc>
          <w:tcPr>
            <w:tcW w:type="dxa" w:w="4320"/>
          </w:tcPr>
          <w:p>
            <w:r>
              <w:t>Taxonomy clarity</w:t>
            </w:r>
          </w:p>
        </w:tc>
        <w:tc>
          <w:tcPr>
            <w:tcW w:type="dxa" w:w="4320"/>
          </w:tcPr>
          <w:p>
            <w:r>
              <w:t>✅ 7 canonical groups, group ≠ page, approved names</w:t>
            </w:r>
          </w:p>
        </w:tc>
      </w:tr>
      <w:tr>
        <w:tc>
          <w:tcPr>
            <w:tcW w:type="dxa" w:w="4320"/>
          </w:tcPr>
          <w:p>
            <w:r>
              <w:t>Width / depth</w:t>
            </w:r>
          </w:p>
        </w:tc>
        <w:tc>
          <w:tcPr>
            <w:tcW w:type="dxa" w:w="4320"/>
          </w:tcPr>
          <w:p>
            <w:r>
              <w:t>✅ ~230px reclaimed; Settings path 4 → 3 levels</w:t>
            </w:r>
          </w:p>
        </w:tc>
      </w:tr>
      <w:tr>
        <w:tc>
          <w:tcPr>
            <w:tcW w:type="dxa" w:w="4320"/>
          </w:tcPr>
          <w:p>
            <w:r>
              <w:t>Permission/flags/platform-owner</w:t>
            </w:r>
          </w:p>
        </w:tc>
        <w:tc>
          <w:tcPr>
            <w:tcW w:type="dxa" w:w="4320"/>
          </w:tcPr>
          <w:p>
            <w:r>
              <w:t>✅ Identical (§2 proof)</w:t>
            </w:r>
          </w:p>
        </w:tc>
      </w:tr>
      <w:tr>
        <w:tc>
          <w:tcPr>
            <w:tcW w:type="dxa" w:w="4320"/>
          </w:tcPr>
          <w:p>
            <w:r>
              <w:t>Search</w:t>
            </w:r>
          </w:p>
        </w:tc>
        <w:tc>
          <w:tcPr>
            <w:tcW w:type="dxa" w:w="4320"/>
          </w:tcPr>
          <w:p>
            <w:r>
              <w:t>✅ Command palette unaffected</w:t>
            </w:r>
          </w:p>
        </w:tc>
      </w:tr>
      <w:tr>
        <w:tc>
          <w:tcPr>
            <w:tcW w:type="dxa" w:w="4320"/>
          </w:tcPr>
          <w:p>
            <w:r>
              <w:t>Routes / pages</w:t>
            </w:r>
          </w:p>
        </w:tc>
        <w:tc>
          <w:tcPr>
            <w:tcW w:type="dxa" w:w="4320"/>
          </w:tcPr>
          <w:p>
            <w:r>
              <w:t>✅ Unchanged</w:t>
            </w:r>
          </w:p>
        </w:tc>
      </w:tr>
    </w:tbl>
    <w:p/>
    <w:p>
      <w:pPr>
        <w:pStyle w:val="Heading2"/>
      </w:pPr>
      <w:r>
        <w:rPr>
          <w:color w:val="1F497D"/>
        </w:rPr>
        <w:t>7. Status &amp; what's next (your call)</w:t>
      </w:r>
    </w:p>
    <w:p>
      <w:pPr>
        <w:pStyle w:val="ListBullet"/>
      </w:pPr>
      <w:r>
        <w:rPr>
          <w:b/>
        </w:rPr>
        <w:t>M1 + M2: complete, validated, green.</w:t>
      </w:r>
      <w:r>
        <w:t xml:space="preserve"> Awaiting your live preview sign-off.</w:t>
      </w:r>
    </w:p>
    <w:p>
      <w:pPr>
        <w:pStyle w:val="ListBullet"/>
      </w:pPr>
      <w:r>
        <w:rPr>
          <w:b/>
        </w:rPr>
        <w:t>M3 page-merges: NOT started</w:t>
      </w:r>
      <w:r>
        <w:t xml:space="preserve"> (held by direction). Candidates, each a separate approval-gated task </w:t>
      </w:r>
      <w:r>
        <w:rPr>
          <w:b/>
        </w:rPr>
        <w:t>with old-route `redirect()`s</w:t>
      </w:r>
      <w:r>
        <w:t xml:space="preserve"> to preserve bookmarks:</w:t>
      </w:r>
    </w:p>
    <w:p>
      <w:pPr>
        <w:pStyle w:val="ListNumber"/>
      </w:pPr>
      <w:r>
        <w:t>Roles &amp; Permissions (authz + permissions + action-policies)</w:t>
      </w:r>
    </w:p>
    <w:p>
      <w:pPr>
        <w:pStyle w:val="ListNumber"/>
      </w:pPr>
      <w:r>
        <w:t>Workflows (approval-matrix + workflows + templates) — removes the page-level "Approvals/Routes" stutter</w:t>
      </w:r>
    </w:p>
    <w:p>
      <w:pPr>
        <w:pStyle w:val="ListNumber"/>
      </w:pPr>
      <w:r>
        <w:t>Connections (integration-hub + integrations + sync)</w:t>
      </w:r>
    </w:p>
    <w:p>
      <w:pPr>
        <w:pStyle w:val="ListNumber"/>
      </w:pPr>
      <w:r>
        <w:t>Custom Fields (custom-fields + field-governance + customer-data)</w:t>
      </w:r>
    </w:p>
    <w:p>
      <w:pPr>
        <w:pStyle w:val="ListNumber"/>
      </w:pPr>
      <w:r>
        <w:t>Import &amp; Export (import + export + data-onboarding)</w:t>
      </w:r>
    </w:p>
    <w:p>
      <w:pPr>
        <w:pStyle w:val="ListNumber"/>
      </w:pPr>
      <w:r>
        <w:t>Onboarding (onboarding + go-live)</w:t>
      </w:r>
    </w:p>
    <w:p>
      <w:pPr>
        <w:pStyle w:val="ListBullet"/>
      </w:pPr>
      <w:r>
        <w:rPr>
          <w:b/>
        </w:rPr>
        <w:t>M4</w:t>
      </w:r>
      <w:r>
        <w:t xml:space="preserve"> (relocate Personal; remove platform-audit/copilot duplicates) — deferred.</w:t>
      </w:r>
    </w:p>
    <w:p>
      <w:r>
        <w:t>After your live review, you choose which (if any) M3 items proceed, individually.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