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Territory Audit Engine — Design &amp;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Territory Audit Engine — Design &amp; Implementation Plan</w:t>
      </w:r>
    </w:p>
    <w:p>
      <w:r>
        <w:rPr>
          <w:b/>
        </w:rPr>
        <w:t>Workstream:</w:t>
      </w:r>
      <w:r>
        <w:t xml:space="preserve"> TIS stage #1 (Territory Audit) — first read-model + surface on TIS-0</w:t>
      </w:r>
    </w:p>
    <w:p>
      <w:r>
        <w:rPr>
          <w:b/>
        </w:rPr>
        <w:t>Status:</w:t>
      </w:r>
      <w:r>
        <w:t xml:space="preserve"> Design + autonomous phased execution (gated only at architecture forks)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Objective</w:t>
      </w:r>
    </w:p>
    <w:p>
      <w:r>
        <w:t xml:space="preserve">Turn the TIS-0 dataset into an </w:t>
      </w:r>
      <w:r>
        <w:rPr>
          <w:b/>
        </w:rPr>
        <w:t>at-a-glance territory health audit</w:t>
      </w:r>
      <w:r>
        <w:t>: where coverage is</w:t>
      </w:r>
    </w:p>
    <w:p>
      <w:r>
        <w:t>leaking, where territories/routes are unbalanced, how customers are distributed, and where the</w:t>
      </w:r>
    </w:p>
    <w:p>
      <w:r>
        <w:t xml:space="preserve">white-space (un-worked outlets) is. Pure read-model over </w:t>
      </w:r>
      <w:r>
        <w:rPr>
          <w:rFonts w:ascii="Consolas" w:hAnsi="Consolas"/>
          <w:sz w:val="19"/>
        </w:rPr>
        <w:t>TisDataset</w:t>
      </w:r>
      <w:r>
        <w:t>, surfaced in **Simple</w:t>
      </w:r>
    </w:p>
    <w:p>
      <w:r>
        <w:t>Mode**, degrading gracefully by available data (TIS-0-2 capabilities), and reusable by Geo,</w:t>
      </w:r>
    </w:p>
    <w:p>
      <w:r>
        <w:t>Route Optimization, and Sales Force Sizing.</w:t>
      </w:r>
    </w:p>
    <w:p>
      <w:r>
        <w:rPr>
          <w:b/>
        </w:rPr>
        <w:t>Surfaces (required):</w:t>
      </w:r>
      <w:r>
        <w:t xml:space="preserve"> Coverage gaps · Territory imbalance · Route imbalance · Customer</w:t>
      </w:r>
    </w:p>
    <w:p>
      <w:r>
        <w:t>distribution · White-space opportunities.</w:t>
      </w:r>
    </w:p>
    <w:p>
      <w:pPr>
        <w:pStyle w:val="Heading2"/>
      </w:pPr>
      <w:r>
        <w:rPr>
          <w:color w:val="1F497D"/>
        </w:rPr>
        <w:t>2. Current State (audit)</w:t>
      </w:r>
    </w:p>
    <w:p>
      <w:pPr>
        <w:pStyle w:val="ListBullet"/>
      </w:pPr>
      <w:r>
        <w:rPr>
          <w:b/>
        </w:rPr>
        <w:t>Inputs exist:</w:t>
      </w:r>
      <w:r>
        <w:t xml:space="preserve"> TIS-0 </w:t>
      </w:r>
      <w:r>
        <w:rPr>
          <w:rFonts w:ascii="Consolas" w:hAnsi="Consolas"/>
          <w:sz w:val="19"/>
        </w:rPr>
        <w:t>TisDataset</w:t>
      </w:r>
      <w:r>
        <w:t xml:space="preserve"> already carries geo · ownership · grade · frequency</w:t>
      </w:r>
    </w:p>
    <w:p>
      <w:r>
        <w:t>(workload) · coverage · salesValue. The Coverage Engine (CV-1) gives coverage rollups; the</w:t>
      </w:r>
    </w:p>
    <w:p>
      <w:r>
        <w:t xml:space="preserve">scenario layer (TIS-0-3) already computes a workload </w:t>
      </w:r>
      <w:r>
        <w:rPr>
          <w:b/>
        </w:rPr>
        <w:t>balance %</w:t>
      </w:r>
      <w:r>
        <w:t xml:space="preserve"> (</w:t>
      </w:r>
      <w:r>
        <w:rPr>
          <w:rFonts w:ascii="Consolas" w:hAnsi="Consolas"/>
          <w:sz w:val="19"/>
        </w:rPr>
        <w:t>balancePct</w:t>
      </w:r>
      <w:r>
        <w:t>).</w:t>
      </w:r>
    </w:p>
    <w:p>
      <w:pPr>
        <w:pStyle w:val="ListBullet"/>
      </w:pPr>
      <w:r>
        <w:rPr>
          <w:b/>
        </w:rPr>
        <w:t>Gap:</w:t>
      </w:r>
      <w:r>
        <w:t xml:space="preserve"> there is </w:t>
      </w:r>
      <w:r>
        <w:rPr>
          <w:b/>
        </w:rPr>
        <w:t>no audit synthesis</w:t>
      </w:r>
      <w:r>
        <w:t xml:space="preserve"> — no single pass that turns those signals into</w:t>
      </w:r>
    </w:p>
    <w:p>
      <w:r>
        <w:t>ranked findings (gaps, imbalance, distribution, white-space) a manager can act on. Signals</w:t>
      </w:r>
    </w:p>
    <w:p>
      <w:r>
        <w:t>are present; the audit read-model is not.</w:t>
      </w:r>
    </w:p>
    <w:p>
      <w:pPr>
        <w:pStyle w:val="ListBullet"/>
      </w:pPr>
      <w:r>
        <w:rPr>
          <w:b/>
        </w:rPr>
        <w:t>White-space caveat:</w:t>
      </w:r>
      <w:r>
        <w:t xml:space="preserve"> true market white-space (prospects who are *not yet customers*)</w:t>
      </w:r>
    </w:p>
    <w:p>
      <w:r>
        <w:t>needs an external/market source the platform doesn't hold. The available-data audit surfaces</w:t>
      </w:r>
    </w:p>
    <w:p>
      <w:r>
        <w:rPr>
          <w:b/>
        </w:rPr>
        <w:t>internal white-space</w:t>
      </w:r>
      <w:r>
        <w:t xml:space="preserve"> — outlets that exist but are </w:t>
      </w:r>
      <w:r>
        <w:rPr>
          <w:b/>
        </w:rPr>
        <w:t>un-worked</w:t>
      </w:r>
      <w:r>
        <w:t xml:space="preserve"> (unassigned · never</w:t>
      </w:r>
    </w:p>
    <w:p>
      <w:r>
        <w:t>visited · no cadence). True prospect white-space is a Geo/data-source follow-on (noted).</w:t>
      </w:r>
    </w:p>
    <w:p>
      <w:pPr>
        <w:pStyle w:val="Heading2"/>
      </w:pPr>
      <w:r>
        <w:rPr>
          <w:color w:val="1F497D"/>
        </w:rPr>
        <w:t>3. Gap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TA-G1</w:t>
            </w:r>
          </w:p>
        </w:tc>
        <w:tc>
          <w:tcPr>
            <w:tcW w:type="dxa" w:w="2880"/>
          </w:tcPr>
          <w:p>
            <w:r>
              <w:t>No coverage-gap synthesis (under/never as ranked findings by territory/route)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TA-G2</w:t>
            </w:r>
          </w:p>
        </w:tc>
        <w:tc>
          <w:tcPr>
            <w:tcW w:type="dxa" w:w="2880"/>
          </w:tcPr>
          <w:p>
            <w:r>
              <w:t>No territory imbalance metric (workload/value/count spread across region/area/salesman)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TA-G3</w:t>
            </w:r>
          </w:p>
        </w:tc>
        <w:tc>
          <w:tcPr>
            <w:tcW w:type="dxa" w:w="2880"/>
          </w:tcPr>
          <w:p>
            <w:r>
              <w:t>No route imbalance metric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TA-G4</w:t>
            </w:r>
          </w:p>
        </w:tc>
        <w:tc>
          <w:tcPr>
            <w:tcW w:type="dxa" w:w="2880"/>
          </w:tcPr>
          <w:p>
            <w:r>
              <w:t>No customer-distribution summary (by grade · coverage · assignment)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TA-G5</w:t>
            </w:r>
          </w:p>
        </w:tc>
        <w:tc>
          <w:tcPr>
            <w:tcW w:type="dxa" w:w="2880"/>
          </w:tcPr>
          <w:p>
            <w:r>
              <w:t>No internal white-space detection (unassigned · never-visited · no-cadence)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TA-G6</w:t>
            </w:r>
          </w:p>
        </w:tc>
        <w:tc>
          <w:tcPr>
            <w:tcW w:type="dxa" w:w="2880"/>
          </w:tcPr>
          <w:p>
            <w:r>
              <w:t>No Simple-Mode audit surface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2"/>
      </w:pPr>
      <w:r>
        <w:rPr>
          <w:color w:val="1F497D"/>
        </w:rPr>
        <w:t>4. Reuse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Reuse</w:t>
            </w:r>
          </w:p>
        </w:tc>
      </w:tr>
      <w:tr>
        <w:tc>
          <w:tcPr>
            <w:tcW w:type="dxa" w:w="2880"/>
          </w:tcPr>
          <w:p>
            <w:r>
              <w:t>Customer dataset</w:t>
            </w:r>
          </w:p>
        </w:tc>
        <w:tc>
          <w:tcPr>
            <w:tcW w:type="dxa" w:w="2880"/>
          </w:tcPr>
          <w:p>
            <w:r>
              <w:t xml:space="preserve">TIS-0 </w:t>
            </w:r>
            <w:r>
              <w:rPr>
                <w:rFonts w:ascii="Consolas" w:hAnsi="Consolas"/>
                <w:sz w:val="19"/>
              </w:rPr>
              <w:t>TisDataset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loadTisDataset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Capability gating</w:t>
            </w:r>
          </w:p>
        </w:tc>
        <w:tc>
          <w:tcPr>
            <w:tcW w:type="dxa" w:w="2880"/>
          </w:tcPr>
          <w:p>
            <w:r>
              <w:t xml:space="preserve">TIS-0-2 </w:t>
            </w:r>
            <w:r>
              <w:rPr>
                <w:rFonts w:ascii="Consolas" w:hAnsi="Consolas"/>
                <w:sz w:val="19"/>
              </w:rPr>
              <w:t>resolveCapabilities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Coverage rollup</w:t>
            </w:r>
          </w:p>
        </w:tc>
        <w:tc>
          <w:tcPr>
            <w:tcW w:type="dxa" w:w="2880"/>
          </w:tcPr>
          <w:p>
            <w:r>
              <w:t xml:space="preserve">Coverage Engine (CV-1) </w:t>
            </w:r>
            <w:r>
              <w:rPr>
                <w:rFonts w:ascii="Consolas" w:hAnsi="Consolas"/>
                <w:sz w:val="19"/>
              </w:rPr>
              <w:t>rollupCoverage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Workload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customerWorkload</w:t>
            </w:r>
            <w:r>
              <w:t xml:space="preserve"> (FR)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Balance metric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balancePct</w:t>
            </w:r>
            <w:r>
              <w:t xml:space="preserve"> (TIS-0-3 — promote to shared util)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Group rollup pattern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groupCoverageRollup</w:t>
            </w:r>
            <w:r>
              <w:t xml:space="preserve"> (CV-1)</w:t>
            </w:r>
          </w:p>
        </w:tc>
        <w:tc>
          <w:tcPr>
            <w:tcW w:type="dxa" w:w="2880"/>
          </w:tcPr>
          <w:p>
            <w:r>
              <w:t>pattern</w:t>
            </w:r>
          </w:p>
        </w:tc>
      </w:tr>
    </w:tbl>
    <w:p/>
    <w:p>
      <w:r>
        <w:rPr>
          <w:b/>
        </w:rPr>
        <w:t>Estimated reuse ≈ 85%.</w:t>
      </w:r>
      <w:r>
        <w:t xml:space="preserve"> Net-new: the audit read-model (findings synthesis) + one Simple-Mode</w:t>
      </w:r>
    </w:p>
    <w:p>
      <w:r>
        <w:t xml:space="preserve">surface. One small refactor: promote </w:t>
      </w:r>
      <w:r>
        <w:rPr>
          <w:rFonts w:ascii="Consolas" w:hAnsi="Consolas"/>
          <w:sz w:val="19"/>
        </w:rPr>
        <w:t>balancePct</w:t>
      </w:r>
      <w:r>
        <w:t xml:space="preserve"> to a shared </w:t>
      </w:r>
      <w:r>
        <w:rPr>
          <w:rFonts w:ascii="Consolas" w:hAnsi="Consolas"/>
          <w:sz w:val="19"/>
        </w:rPr>
        <w:t>tis/balance.ts</w:t>
      </w:r>
      <w:r>
        <w:t>.</w:t>
      </w:r>
    </w:p>
    <w:p>
      <w:pPr>
        <w:pStyle w:val="Heading2"/>
      </w:pPr>
      <w:r>
        <w:rPr>
          <w:color w:val="1F497D"/>
        </w:rPr>
        <w:t>5. Recommended Architecture</w:t>
      </w:r>
    </w:p>
    <w:p>
      <w:pPr>
        <w:pStyle w:val="Heading3"/>
      </w:pPr>
      <w:r>
        <w:t xml:space="preserve">5.1 Pure audit engine — </w:t>
      </w:r>
      <w:r>
        <w:rPr>
          <w:rFonts w:ascii="Consolas" w:hAnsi="Consolas"/>
          <w:sz w:val="19"/>
        </w:rPr>
        <w:t>tis/audit.ts</w:t>
      </w:r>
    </w:p>
    <w:p>
      <w:r>
        <w:rPr>
          <w:rFonts w:ascii="Consolas" w:hAnsi="Consolas"/>
          <w:sz w:val="19"/>
        </w:rPr>
        <w:t>auditTerritory(dataset, opts) → TerritoryAudit</w:t>
      </w:r>
      <w:r>
        <w:t>, capability-aware (skips sections whose data</w:t>
      </w:r>
    </w:p>
    <w:p>
      <w:r>
        <w:t>is absent). Pure:</w:t>
      </w:r>
    </w:p>
    <w:p>
      <w:pPr>
        <w:ind w:left="240"/>
      </w:pPr>
      <w:r>
        <w:rPr>
          <w:rFonts w:ascii="Consolas" w:hAnsi="Consolas"/>
          <w:sz w:val="18"/>
        </w:rPr>
        <w:t>TerritoryAudit {</w:t>
        <w:br/>
        <w:t xml:space="preserve">  mode, capabilities,</w:t>
        <w:br/>
        <w:t xml:space="preserve">  coverageGaps:   { rollup, byGroup[] }          // under+never, grouped (salesman/route/region)</w:t>
        <w:br/>
        <w:t xml:space="preserve">  territoryBalance: GroupBalance[]                // per region/area/salesman: count·workload·value + balance%</w:t>
        <w:br/>
        <w:t xml:space="preserve">  routeBalance:     GroupBalance[]                // per route</w:t>
        <w:br/>
        <w:t xml:space="preserve">  distribution:   { byGrade[], byCoverage[], assigned/unassigned }</w:t>
        <w:br/>
        <w:t xml:space="preserve">  whiteSpace:     { unassigned[], neverVisited[], noCadence[] , counts }</w:t>
        <w:br/>
        <w:t xml:space="preserve">  headline:       { coveragePct, gapCount, worstBalancePct, whiteSpaceCount }   // Simple-Mode summary</w:t>
        <w:br/>
        <w:t>}</w:t>
      </w:r>
    </w:p>
    <w:p>
      <w:pPr>
        <w:pStyle w:val="ListBullet"/>
      </w:pPr>
      <w:r>
        <w:rPr>
          <w:b/>
        </w:rPr>
        <w:t>Balance</w:t>
      </w:r>
      <w:r>
        <w:t xml:space="preserve"> per dimension = </w:t>
      </w:r>
      <w:r>
        <w:rPr>
          <w:rFonts w:ascii="Consolas" w:hAnsi="Consolas"/>
          <w:sz w:val="19"/>
        </w:rPr>
        <w:t>balancePct</w:t>
      </w:r>
      <w:r>
        <w:t xml:space="preserve"> over a chosen weight (workload by default; value/count</w:t>
      </w:r>
    </w:p>
    <w:p>
      <w:r>
        <w:t>optional) — 100 = even. Reuses the scenario balance math.</w:t>
      </w:r>
    </w:p>
    <w:p>
      <w:pPr>
        <w:pStyle w:val="ListBullet"/>
      </w:pPr>
      <w:r>
        <w:rPr>
          <w:b/>
        </w:rPr>
        <w:t>Coverage gaps</w:t>
      </w:r>
      <w:r>
        <w:t xml:space="preserve"> reuse </w:t>
      </w:r>
      <w:r>
        <w:rPr>
          <w:rFonts w:ascii="Consolas" w:hAnsi="Consolas"/>
          <w:sz w:val="19"/>
        </w:rPr>
        <w:t>rollupCoverage</w:t>
      </w:r>
      <w:r>
        <w:t xml:space="preserve"> + grouping; degrade to "needs coverage data" in Mode A.</w:t>
      </w:r>
    </w:p>
    <w:p>
      <w:pPr>
        <w:pStyle w:val="ListBullet"/>
      </w:pPr>
      <w:r>
        <w:rPr>
          <w:b/>
        </w:rPr>
        <w:t>White-space</w:t>
      </w:r>
      <w:r>
        <w:t xml:space="preserve"> = pure predicates over the dataset (no external source).</w:t>
      </w:r>
    </w:p>
    <w:p>
      <w:pPr>
        <w:pStyle w:val="Heading3"/>
      </w:pPr>
      <w:r>
        <w:t>5.2 Server + surface (Simple Mode)</w:t>
      </w:r>
    </w:p>
    <w:p>
      <w:pPr>
        <w:pStyle w:val="ListBullet"/>
      </w:pPr>
      <w:r>
        <w:rPr>
          <w:rFonts w:ascii="Consolas" w:hAnsi="Consolas"/>
          <w:sz w:val="19"/>
        </w:rPr>
        <w:t>loadTerritoryAudit(supabase, opts)</w:t>
      </w:r>
      <w:r>
        <w:t xml:space="preserve"> = </w:t>
      </w:r>
      <w:r>
        <w:rPr>
          <w:rFonts w:ascii="Consolas" w:hAnsi="Consolas"/>
          <w:sz w:val="19"/>
        </w:rPr>
        <w:t>auditTerritory(loadTisDataset(...))</w:t>
      </w:r>
      <w:r>
        <w:t xml:space="preserve"> (live) — and the</w:t>
      </w:r>
    </w:p>
    <w:p>
      <w:r>
        <w:t>same engine runs on an uploaded dataset (Mode A) with no change.</w:t>
      </w:r>
    </w:p>
    <w:p>
      <w:pPr>
        <w:pStyle w:val="ListBullet"/>
      </w:pPr>
      <w:r>
        <w:t xml:space="preserve">One page </w:t>
      </w:r>
      <w:r>
        <w:rPr>
          <w:rFonts w:ascii="Consolas" w:hAnsi="Consolas"/>
          <w:sz w:val="19"/>
        </w:rPr>
        <w:t>/distribution/territory-audit</w:t>
      </w:r>
      <w:r>
        <w:t xml:space="preserve">: a </w:t>
      </w:r>
      <w:r>
        <w:rPr>
          <w:b/>
        </w:rPr>
        <w:t>headline strip</w:t>
      </w:r>
      <w:r>
        <w:t xml:space="preserve"> (Coverage % · gaps · least</w:t>
      </w:r>
    </w:p>
    <w:p>
      <w:r>
        <w:t>balanced group · white-space count) + cards per section, each drilling into the existing</w:t>
      </w:r>
    </w:p>
    <w:p>
      <w:r>
        <w:t>coverage list / customer list. No weights or thresholds on the default screen.</w:t>
      </w:r>
    </w:p>
    <w:p>
      <w:pPr>
        <w:pStyle w:val="Heading3"/>
      </w:pPr>
      <w:r>
        <w:t>5.3 Forward compatibility</w:t>
      </w:r>
    </w:p>
    <w:p>
      <w:pPr>
        <w:pStyle w:val="ListBullet"/>
      </w:pPr>
      <w:r>
        <w:rPr>
          <w:b/>
        </w:rPr>
        <w:t>Geo Intelligence:</w:t>
      </w:r>
      <w:r>
        <w:t xml:space="preserve"> the audit's per-group + white-space outputs are map layers later.</w:t>
      </w:r>
    </w:p>
    <w:p>
      <w:pPr>
        <w:pStyle w:val="ListBullet"/>
      </w:pPr>
      <w:r>
        <w:rPr>
          <w:b/>
        </w:rPr>
        <w:t>Route Optimization:</w:t>
      </w:r>
      <w:r>
        <w:t xml:space="preserve"> imbalance findings seed "rebalance" scenarios (TIS-0-3 scenarios).</w:t>
      </w:r>
    </w:p>
    <w:p>
      <w:pPr>
        <w:pStyle w:val="ListBullet"/>
      </w:pPr>
      <w:r>
        <w:rPr>
          <w:b/>
        </w:rPr>
        <w:t>Sales Force Sizing:</w:t>
      </w:r>
      <w:r>
        <w:t xml:space="preserve"> territory workload totals feed headcount sizing directly.</w:t>
      </w:r>
    </w:p>
    <w:p>
      <w:pPr>
        <w:pStyle w:val="Heading2"/>
      </w:pPr>
      <w:r>
        <w:rPr>
          <w:color w:val="1F497D"/>
        </w:rPr>
        <w:t>6. Implementation Plan (phased, autonomous; review at boundaries)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TA-1</w:t>
            </w:r>
          </w:p>
        </w:tc>
        <w:tc>
          <w:tcPr>
            <w:tcW w:type="dxa" w:w="2880"/>
          </w:tcPr>
          <w:p>
            <w:r>
              <w:t>Pure audit engine (</w:t>
            </w:r>
            <w:r>
              <w:rPr>
                <w:rFonts w:ascii="Consolas" w:hAnsi="Consolas"/>
                <w:sz w:val="19"/>
              </w:rPr>
              <w:t>audit.ts</w:t>
            </w:r>
            <w:r>
              <w:t xml:space="preserve">) + shared </w:t>
            </w:r>
            <w:r>
              <w:rPr>
                <w:rFonts w:ascii="Consolas" w:hAnsi="Consolas"/>
                <w:sz w:val="19"/>
              </w:rPr>
              <w:t>balance.ts</w:t>
            </w:r>
            <w:r>
              <w:t xml:space="preserve"> refactor + tests</w:t>
            </w:r>
          </w:p>
        </w:tc>
        <w:tc>
          <w:tcPr>
            <w:tcW w:type="dxa" w:w="2880"/>
          </w:tcPr>
          <w:p>
            <w:r>
              <w:t>~1d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TA-2</w:t>
            </w:r>
          </w:p>
        </w:tc>
        <w:tc>
          <w:tcPr>
            <w:tcW w:type="dxa" w:w="2880"/>
          </w:tcPr>
          <w:p>
            <w:r>
              <w:t xml:space="preserve">Server loader + Simple-Mode </w:t>
            </w:r>
            <w:r>
              <w:rPr>
                <w:rFonts w:ascii="Consolas" w:hAnsi="Consolas"/>
                <w:sz w:val="19"/>
              </w:rPr>
              <w:t>/distribution/territory-audit</w:t>
            </w:r>
            <w:r>
              <w:t xml:space="preserve"> surface + i18n + nav</w:t>
            </w:r>
          </w:p>
        </w:tc>
        <w:tc>
          <w:tcPr>
            <w:tcW w:type="dxa" w:w="2880"/>
          </w:tcPr>
          <w:p>
            <w:r>
              <w:t>~1–1.5d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TA-3</w:t>
            </w:r>
          </w:p>
        </w:tc>
        <w:tc>
          <w:tcPr>
            <w:tcW w:type="dxa" w:w="2880"/>
          </w:tcPr>
          <w:p>
            <w:r>
              <w:t>Drill-downs + capability empty-states polish; (optional) scenario-aware re-audit</w:t>
            </w:r>
          </w:p>
        </w:tc>
        <w:tc>
          <w:tcPr>
            <w:tcW w:type="dxa" w:w="2880"/>
          </w:tcPr>
          <w:p>
            <w:r>
              <w:t>~0.5–1d</w:t>
            </w:r>
          </w:p>
        </w:tc>
      </w:tr>
    </w:tbl>
    <w:p/>
    <w:p>
      <w:r>
        <w:t>One validated phase per commit; completion review at each boundary. Architecture forks (e.g.</w:t>
      </w:r>
    </w:p>
    <w:p>
      <w:r>
        <w:t>introducing a prospects/white-space data source) pause for approval.</w:t>
      </w:r>
    </w:p>
    <w:p>
      <w:pPr>
        <w:pStyle w:val="Heading2"/>
      </w:pPr>
      <w:r>
        <w:rPr>
          <w:color w:val="1F497D"/>
        </w:rPr>
        <w:t>7. Simple Mode (mandatory)</w:t>
      </w:r>
    </w:p>
    <w:p>
      <w:pPr>
        <w:pStyle w:val="ListBullet"/>
      </w:pPr>
      <w:r>
        <w:t xml:space="preserve">Opens on a </w:t>
      </w:r>
      <w:r>
        <w:rPr>
          <w:b/>
        </w:rPr>
        <w:t>one-line headline + a few numbers</w:t>
      </w:r>
      <w:r>
        <w:t xml:space="preserve"> (Coverage % · gaps · least-balanced group ·</w:t>
      </w:r>
    </w:p>
    <w:p>
      <w:r>
        <w:t>white-space outlets); plain language, no weights/thresholds.</w:t>
      </w:r>
    </w:p>
    <w:p>
      <w:pPr>
        <w:pStyle w:val="ListBullet"/>
      </w:pPr>
      <w:r>
        <w:t>Drill-downs reuse existing lists. Advanced (weight by value vs workload, thresholds) is opt-in</w:t>
      </w:r>
    </w:p>
    <w:p>
      <w:r>
        <w:t>behind an "Advanced" affordance.</w:t>
      </w:r>
    </w:p>
    <w:p>
      <w:pPr>
        <w:pStyle w:val="ListBullet"/>
      </w:pPr>
      <w:r>
        <w:t>Runs identically on a Mode-A upload and a Mode-C tenant; absent data shows "needs X", never</w:t>
      </w:r>
    </w:p>
    <w:p>
      <w:r>
        <w:t>blocks.</w:t>
      </w:r>
    </w:p>
    <w:p>
      <w:pPr>
        <w:pStyle w:val="Heading2"/>
      </w:pPr>
      <w:r>
        <w:rPr>
          <w:color w:val="1F497D"/>
        </w:rPr>
        <w:t>8. Validation &amp; Completion</w:t>
      </w:r>
    </w:p>
    <w:p>
      <w:r>
        <w:rPr>
          <w:rFonts w:ascii="Consolas" w:hAnsi="Consolas"/>
          <w:sz w:val="19"/>
        </w:rPr>
        <w:t>tsc</w:t>
      </w:r>
      <w:r>
        <w:t xml:space="preserve"> + </w:t>
      </w:r>
      <w:r>
        <w:rPr>
          <w:rFonts w:ascii="Consolas" w:hAnsi="Consolas"/>
          <w:sz w:val="19"/>
        </w:rPr>
        <w:t>vitest</w:t>
      </w:r>
      <w:r>
        <w:t xml:space="preserve"> per phase; </w:t>
      </w:r>
      <w:r>
        <w:rPr>
          <w:rFonts w:ascii="Consolas" w:hAnsi="Consolas"/>
          <w:sz w:val="19"/>
        </w:rPr>
        <w:t>next build</w:t>
      </w:r>
      <w:r>
        <w:t xml:space="preserve"> once a route exists (TA-2+). Completion review per</w:t>
      </w:r>
    </w:p>
    <w:p>
      <w:r>
        <w:t>phase: what shipped, Simple-Mode behavior, role behavior, reuse, validation,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