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Platform Navigation Standard — UX Constitution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Platform Navigation Standard</w:t>
      </w:r>
    </w:p>
    <w:p>
      <w:pPr>
        <w:pStyle w:val="Heading3"/>
      </w:pPr>
      <w:r>
        <w:t>A platform-wide UX architecture decision ("Navigation Constitution")</w:t>
      </w:r>
    </w:p>
    <w:p>
      <w:r>
        <w:rPr>
          <w:b/>
        </w:rPr>
        <w:t>Status:</w:t>
      </w:r>
      <w:r>
        <w:t xml:space="preserve"> Design review &amp; recommendation — *no implementation*.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. </w:t>
      </w:r>
      <w:r>
        <w:rPr>
          <w:b/>
        </w:rPr>
        <w:t>Date:</w:t>
      </w:r>
      <w:r>
        <w:t xml:space="preserve"> 2026-06-18.</w:t>
      </w:r>
    </w:p>
    <w:p>
      <w:r>
        <w:t xml:space="preserve">This document elevates a single observation — *"multiple side-navigation layers consume width and add depth"* — into a binding, reusable navigation standard so that </w:t>
      </w:r>
      <w:r>
        <w:rPr>
          <w:b/>
        </w:rPr>
        <w:t>every future VANTORA module automatically follows the same architecture and cannot introduce additional navigation layers</w:t>
      </w:r>
      <w:r>
        <w:t>. It is provider/tenant-agnostic and applies to Admin Center, Companies, Users, Roles, Branches, Features, Settings, Integrations, and all future modules (CRM, Warehouse, Accounting, HR, Pharmacy, POS, AI Center).</w:t>
      </w:r>
    </w:p>
    <w:p>
      <w:pPr>
        <w:pStyle w:val="Heading2"/>
      </w:pPr>
      <w:r>
        <w:rPr>
          <w:color w:val="1F497D"/>
        </w:rPr>
        <w:t>1. The problem, named precisely</w:t>
      </w:r>
    </w:p>
    <w:p>
      <w:r>
        <w:t xml:space="preserve">Today VANTORA can stack </w:t>
      </w:r>
      <w:r>
        <w:rPr>
          <w:b/>
        </w:rPr>
        <w:t>two persistent vertical rails plus a horizontal facet</w:t>
      </w:r>
      <w:r>
        <w:t xml:space="preserve"> before any content appears:</w:t>
      </w:r>
    </w:p>
    <w:p>
      <w:pPr>
        <w:ind w:left="240"/>
      </w:pPr>
      <w:r>
        <w:rPr>
          <w:rFonts w:ascii="Consolas" w:hAnsi="Consolas"/>
          <w:sz w:val="18"/>
        </w:rPr>
        <w:t>CURRENT (anti-pattern when fully stacked)</w:t>
        <w:br/>
        <w:t>┌───────────────────────────────────────────────────────────────┐</w:t>
        <w:br/>
        <w:t>│ L0  Platform bar: tenant · role · search · quick-create · 🔔    │</w:t>
        <w:br/>
        <w:t>├──────────┬──────────────┬────────────────────────────────────-─┤</w:t>
        <w:br/>
        <w:t>│ L1       │ L2           │  L3 Content                           │</w:t>
        <w:br/>
        <w:t>│ Module   │ Module       │                                       │</w:t>
        <w:br/>
        <w:t>│ Rail     │ Sub-Rail     │  (what's left of the width)           │</w:t>
        <w:br/>
        <w:t>│ (side)   │ (side)       │                                       │</w:t>
        <w:br/>
        <w:t>│          │              │                                       │</w:t>
        <w:br/>
        <w:t>│ ~240px   │ ~220px       │  ← two rails = ~460px of chrome       │</w:t>
        <w:br/>
        <w:t>└──────────┴──────────────┴────────────────────────────────────-─┘</w:t>
      </w:r>
    </w:p>
    <w:p>
      <w:r>
        <w:t xml:space="preserve">Two side rails cost ~460px before content, and they create a 4-deep path (Platform → Module → Sub-nav → Content). On a 1280px laptop that is </w:t>
      </w:r>
      <w:r>
        <w:rPr>
          <w:b/>
        </w:rPr>
        <w:t>36% of width spent on chrome</w:t>
      </w:r>
      <w:r>
        <w:t>; on tablet it is unusable.</w:t>
      </w:r>
    </w:p>
    <w:p>
      <w:r>
        <w:rPr>
          <w:b/>
        </w:rPr>
        <w:t>Target shape</w:t>
      </w:r>
      <w:r>
        <w:t xml:space="preserve"> — collapse the second *rail* into a horizontal *top grouping* wherever the content allows:</w:t>
      </w:r>
    </w:p>
    <w:p>
      <w:pPr>
        <w:ind w:left="240"/>
      </w:pPr>
      <w:r>
        <w:rPr>
          <w:rFonts w:ascii="Consolas" w:hAnsi="Consolas"/>
          <w:sz w:val="18"/>
        </w:rPr>
        <w:t>TARGET (default)</w:t>
        <w:br/>
        <w:t>┌───────────────────────────────────────────────────────────────┐</w:t>
        <w:br/>
        <w:t>│ L0  Platform bar                                                │</w:t>
        <w:br/>
        <w:t>├──────────┬────────────────────────────────────────────────────┤</w:t>
        <w:br/>
        <w:t>│ L1       │  Page Title                                          │</w:t>
        <w:br/>
        <w:t>│ Module   │  [ Group A | Group B | Group C | Group D ]  ← top    │</w:t>
        <w:br/>
        <w:t>│ Rail     │ ─────────────────────────────────────────────────── │</w:t>
        <w:br/>
        <w:t>│ (side)   │  L3 Content (full remaining width)                  │</w:t>
        <w:br/>
        <w:t>└──────────┴────────────────────────────────────────────────────┘</w:t>
      </w:r>
    </w:p>
    <w:p>
      <w:r>
        <w:t>One rail, ~240px of chrome, a 3-deep path, and the content gets the width back.</w:t>
      </w:r>
    </w:p>
    <w:p>
      <w:pPr>
        <w:pStyle w:val="Heading2"/>
      </w:pPr>
      <w:r>
        <w:rPr>
          <w:color w:val="1F497D"/>
        </w:rPr>
        <w:t>2. The Constitution: five articles</w:t>
      </w:r>
    </w:p>
    <w:p>
      <w:pPr>
        <w:pStyle w:val="Heading3"/>
      </w:pPr>
      <w:r>
        <w:t>Article I — Name the layers (shared vocabulary)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Persistence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 Bar</w:t>
            </w:r>
          </w:p>
        </w:tc>
        <w:tc>
          <w:tcPr>
            <w:tcW w:type="dxa" w:w="2160"/>
          </w:tcPr>
          <w:p>
            <w:r>
              <w:t>Identity, tenant/role context, global search, command palette (</w:t>
            </w:r>
            <w:r>
              <w:rPr>
                <w:rFonts w:ascii="Consolas" w:hAnsi="Consolas"/>
                <w:sz w:val="19"/>
              </w:rPr>
              <w:t>Ctrl-K</w:t>
            </w:r>
            <w:r>
              <w:t>), quick-create, notifications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 Rail</w:t>
            </w:r>
          </w:p>
        </w:tc>
        <w:tc>
          <w:tcPr>
            <w:tcW w:type="dxa" w:w="2160"/>
          </w:tcPr>
          <w:p>
            <w:r>
              <w:t xml:space="preserve">The platform's modules — </w:t>
            </w:r>
            <w:r>
              <w:rPr>
                <w:b/>
              </w:rPr>
              <w:t>one level only</w:t>
            </w:r>
            <w:r>
              <w:t>, collapsible to icons</w:t>
            </w:r>
          </w:p>
        </w:tc>
        <w:tc>
          <w:tcPr>
            <w:tcW w:type="dxa" w:w="2160"/>
          </w:tcPr>
          <w:p>
            <w:r>
              <w:t>Always (collapsible)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Section Nav</w:t>
            </w:r>
          </w:p>
        </w:tc>
        <w:tc>
          <w:tcPr>
            <w:tcW w:type="dxa" w:w="2160"/>
          </w:tcPr>
          <w:p>
            <w:r>
              <w:t>Navigation *within* a module — see Article III for the form it takes</w:t>
            </w:r>
          </w:p>
        </w:tc>
        <w:tc>
          <w:tcPr>
            <w:tcW w:type="dxa" w:w="2160"/>
          </w:tcPr>
          <w:p>
            <w:r>
              <w:t>Per screen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t xml:space="preserve">The work surface; a record here may carry </w:t>
            </w:r>
            <w:r>
              <w:rPr>
                <w:b/>
              </w:rPr>
              <w:t>Record Tabs</w:t>
            </w:r>
            <w:r>
              <w:t xml:space="preserve"> (facets of one object)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</w:tbl>
    <w:p/>
    <w:p>
      <w:pPr>
        <w:pStyle w:val="Heading3"/>
      </w:pPr>
      <w:r>
        <w:t>Article II — The Prime Directive</w:t>
      </w:r>
    </w:p>
    <w:p>
      <w:pPr>
        <w:ind w:left="360"/>
      </w:pPr>
      <w:r>
        <w:rPr>
          <w:i/>
        </w:rPr>
      </w:r>
      <w:r>
        <w:rPr>
          <w:b/>
          <w:i/>
        </w:rPr>
        <w:t>"One rail, then rise."</w:t>
      </w:r>
    </w:p>
    <w:p>
      <w:pPr>
        <w:ind w:left="360"/>
      </w:pPr>
      <w:r>
        <w:rPr>
          <w:i/>
        </w:rPr>
      </w:r>
      <w:r>
        <w:rPr>
          <w:i/>
        </w:rPr>
        <w:t xml:space="preserve">After the Module Rail (L1), navigation must </w:t>
      </w:r>
      <w:r>
        <w:rPr>
          <w:b/>
          <w:i/>
        </w:rPr>
        <w:t>rise to the top</w:t>
      </w:r>
      <w:r>
        <w:rPr>
          <w:i/>
        </w:rPr>
        <w:t xml:space="preserve"> (horizontal grouping) rather than spawn a second vertical rail — </w:t>
      </w:r>
      <w:r>
        <w:rPr>
          <w:b/>
          <w:i/>
        </w:rPr>
        <w:t>unless</w:t>
      </w:r>
      <w:r>
        <w:rPr>
          <w:i/>
        </w:rPr>
        <w:t xml:space="preserve"> the content is an *unbounded collection* (which earns a Master List) or a *true hierarchy* (which earns a Secondary Rail, by exception).</w:t>
      </w:r>
    </w:p>
    <w:p>
      <w:r>
        <w:rPr>
          <w:b/>
        </w:rPr>
        <w:t>Two persistent side rails at the same time is prohibited</w:t>
      </w:r>
      <w:r>
        <w:t xml:space="preserve"> outside the Article IV exceptions.</w:t>
      </w:r>
    </w:p>
    <w:p>
      <w:pPr>
        <w:pStyle w:val="Heading3"/>
      </w:pPr>
      <w:r>
        <w:t>Article III — The L2 decision rule (the heart)</w:t>
      </w:r>
    </w:p>
    <w:p>
      <w:r>
        <w:t xml:space="preserve">L2 takes exactly one of four forms, chosen by </w:t>
      </w:r>
      <w:r>
        <w:rPr>
          <w:b/>
        </w:rPr>
        <w:t>cardinality × homogeneity × hierarchy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Destinations at L2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Nature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Hierarchy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L2 form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t>≤ 7, stable</w:t>
            </w:r>
          </w:p>
        </w:tc>
        <w:tc>
          <w:tcPr>
            <w:tcW w:type="dxa" w:w="1728"/>
          </w:tcPr>
          <w:p>
            <w:r>
              <w:t>facets/sections of one context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 Grouping</w:t>
            </w:r>
            <w:r>
              <w:t xml:space="preserve"> (segmented tabs)</w:t>
            </w:r>
          </w:p>
        </w:tc>
        <w:tc>
          <w:tcPr>
            <w:tcW w:type="dxa" w:w="1728"/>
          </w:tcPr>
          <w:p>
            <w:r>
              <w:t>Fits horizontally; preserves width; shallow</w:t>
            </w:r>
          </w:p>
        </w:tc>
      </w:tr>
      <w:tr>
        <w:tc>
          <w:tcPr>
            <w:tcW w:type="dxa" w:w="1728"/>
          </w:tcPr>
          <w:p>
            <w:r>
              <w:t>8 – 12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 Grouping + overflow</w:t>
            </w:r>
            <w:r>
              <w:t xml:space="preserve"> ("More ▾")</w:t>
            </w:r>
          </w:p>
        </w:tc>
        <w:tc>
          <w:tcPr>
            <w:tcW w:type="dxa" w:w="1728"/>
          </w:tcPr>
          <w:p>
            <w:r>
              <w:t>Still horizontal; rare items fold away</w:t>
            </w:r>
          </w:p>
        </w:tc>
      </w:tr>
      <w:tr>
        <w:tc>
          <w:tcPr>
            <w:tcW w:type="dxa" w:w="1728"/>
          </w:tcPr>
          <w:p>
            <w:r>
              <w:t>&gt; 12, heterogeneous</w:t>
            </w:r>
          </w:p>
        </w:tc>
        <w:tc>
          <w:tcPr>
            <w:tcW w:type="dxa" w:w="1728"/>
          </w:tcPr>
          <w:p>
            <w:r>
              <w:t>a *hub* of pages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Grouped into ≤ 7 top groups</w:t>
            </w:r>
            <w:r>
              <w:t>, each revealing its sub-set</w:t>
            </w:r>
          </w:p>
        </w:tc>
        <w:tc>
          <w:tcPr>
            <w:tcW w:type="dxa" w:w="1728"/>
          </w:tcPr>
          <w:p>
            <w:r>
              <w:t>Re-chunk before reaching for a rail</w:t>
            </w:r>
          </w:p>
        </w:tc>
      </w:tr>
      <w:tr>
        <w:tc>
          <w:tcPr>
            <w:tcW w:type="dxa" w:w="1728"/>
          </w:tcPr>
          <w:p>
            <w:r>
              <w:t>Unbounded</w:t>
            </w:r>
          </w:p>
        </w:tc>
        <w:tc>
          <w:tcPr>
            <w:tcW w:type="dxa" w:w="1728"/>
          </w:tcPr>
          <w:p>
            <w:r>
              <w:t>homogeneous *records*</w:t>
            </w:r>
          </w:p>
        </w:tc>
        <w:tc>
          <w:tcPr>
            <w:tcW w:type="dxa" w:w="1728"/>
          </w:tcPr>
          <w:p>
            <w:r>
              <w:t>flat list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Master List</w:t>
            </w:r>
            <w:r>
              <w:t xml:space="preserve"> (in the content area, not chrome)</w:t>
            </w:r>
          </w:p>
        </w:tc>
        <w:tc>
          <w:tcPr>
            <w:tcW w:type="dxa" w:w="1728"/>
          </w:tcPr>
          <w:p>
            <w:r>
              <w:t>A list of entities is content, not a 2nd rail</w:t>
            </w:r>
          </w:p>
        </w:tc>
      </w:tr>
      <w:tr>
        <w:tc>
          <w:tcPr>
            <w:tcW w:type="dxa" w:w="1728"/>
          </w:tcPr>
          <w:p>
            <w:r>
              <w:t>Unbounded</w:t>
            </w:r>
          </w:p>
        </w:tc>
        <w:tc>
          <w:tcPr>
            <w:tcW w:type="dxa" w:w="1728"/>
          </w:tcPr>
          <w:p>
            <w:r>
              <w:t>homogeneous *records*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Secondary Rail / Tree</w:t>
            </w:r>
            <w:r>
              <w:t xml:space="preserve"> (exception)</w:t>
            </w:r>
          </w:p>
        </w:tc>
        <w:tc>
          <w:tcPr>
            <w:tcW w:type="dxa" w:w="1728"/>
          </w:tcPr>
          <w:p>
            <w:r>
              <w:t>Only a tree needs vertical nesting</w:t>
            </w:r>
          </w:p>
        </w:tc>
      </w:tr>
    </w:tbl>
    <w:p/>
    <w:p>
      <w:r>
        <w:rPr>
          <w:b/>
        </w:rPr>
        <w:t>Key reframing:</w:t>
      </w:r>
      <w:r>
        <w:t xml:space="preserve"> a workbench's list panel is </w:t>
      </w:r>
      <w:r>
        <w:rPr>
          <w:b/>
        </w:rPr>
        <w:t>not</w:t>
      </w:r>
      <w:r>
        <w:t xml:space="preserve"> a second navigation rail — it is the *master* pane of a master–detail view, i.e. content. The ban in Article II is on *chrome* rails (menus of menus), not on master–detail.</w:t>
      </w:r>
    </w:p>
    <w:p>
      <w:pPr>
        <w:pStyle w:val="Heading3"/>
      </w:pPr>
      <w:r>
        <w:t>Article IV — Sanctioned exceptions (when a side rail *is* correct)</w:t>
      </w:r>
    </w:p>
    <w:p>
      <w:r>
        <w:t xml:space="preserve">A Secondary Rail (L2 as a vertical list/tree) is justified </w:t>
      </w:r>
      <w:r>
        <w:rPr>
          <w:b/>
        </w:rPr>
        <w:t>only</w:t>
      </w:r>
      <w:r>
        <w:t xml:space="preserve"> when at least one holds:</w:t>
      </w:r>
    </w:p>
    <w:p>
      <w:pPr>
        <w:pStyle w:val="ListNumber"/>
      </w:pPr>
      <w:r>
        <w:rPr>
          <w:b/>
        </w:rPr>
        <w:t>True hierarchy / tree</w:t>
      </w:r>
      <w:r>
        <w:t xml:space="preserve"> — Chart of Accounts, Org Chart, the Admin Navigation Tree. Depth needs vertical space.</w:t>
      </w:r>
    </w:p>
    <w:p>
      <w:pPr>
        <w:pStyle w:val="ListNumber"/>
      </w:pPr>
      <w:r>
        <w:rPr>
          <w:b/>
        </w:rPr>
        <w:t>Unbounded, frequently-scanned set</w:t>
      </w:r>
      <w:r>
        <w:t xml:space="preserve"> with no natural ≤7 grouping (rare).</w:t>
      </w:r>
    </w:p>
    <w:p>
      <w:pPr>
        <w:pStyle w:val="ListNumber"/>
      </w:pPr>
      <w:r>
        <w:rPr>
          <w:b/>
        </w:rPr>
        <w:t>Cross-entity power navigation</w:t>
      </w:r>
      <w:r>
        <w:t xml:space="preserve"> — a launcher that spans entity *types* (the Navigation Tree). Must </w:t>
      </w:r>
      <w:r>
        <w:rPr>
          <w:b/>
        </w:rPr>
        <w:t>consolidate</w:t>
      </w:r>
      <w:r>
        <w:t xml:space="preserve">, never </w:t>
      </w:r>
      <w:r>
        <w:rPr>
          <w:b/>
        </w:rPr>
        <w:t>stack</w:t>
      </w:r>
      <w:r>
        <w:t xml:space="preserve"> (Article VI).</w:t>
      </w:r>
    </w:p>
    <w:p>
      <w:r>
        <w:t>If none hold, top grouping is mandatory.</w:t>
      </w:r>
    </w:p>
    <w:p>
      <w:pPr>
        <w:pStyle w:val="Heading3"/>
      </w:pPr>
      <w:r>
        <w:t>Article V — Focus / Kiosk mode (chrome suppression)</w:t>
      </w:r>
    </w:p>
    <w:p>
      <w:r>
        <w:t>Transactional, single-task screens (</w:t>
      </w:r>
      <w:r>
        <w:rPr>
          <w:b/>
        </w:rPr>
        <w:t>POS checkout</w:t>
      </w:r>
      <w:r>
        <w:t xml:space="preserve">, label printing, guided counts) enter </w:t>
      </w:r>
      <w:r>
        <w:rPr>
          <w:b/>
        </w:rPr>
        <w:t>Focus Mode</w:t>
      </w:r>
      <w:r>
        <w:t>: L1 is *hidden*, L0 reduces to an exit/identity strip, and L2 (if any) is the task's own steps. Maximum content, zero wayfinding noise. This is a first-class state, not an afterthought.</w:t>
      </w:r>
    </w:p>
    <w:p>
      <w:pPr>
        <w:pStyle w:val="Heading2"/>
      </w:pPr>
      <w:r>
        <w:rPr>
          <w:color w:val="1F497D"/>
        </w:rPr>
        <w:t>3. Responsive rules — "each step down removes one persistent rail"</w:t>
      </w:r>
    </w:p>
    <w:p>
      <w:r>
        <w:t xml:space="preserve">The number of </w:t>
      </w:r>
      <w:r>
        <w:rPr>
          <w:b/>
        </w:rPr>
        <w:t>simultaneously visible navigation surfaces</w:t>
      </w:r>
      <w:r>
        <w:t xml:space="preserve"> decreases by one at each breakpoint. At mobile, the user sees </w:t>
      </w:r>
      <w:r>
        <w:rPr>
          <w:b/>
        </w:rPr>
        <w:t>at most one</w:t>
      </w:r>
      <w:r>
        <w:t xml:space="preserve"> navigation surface at a time; everything else is one tap away.</w:t>
      </w:r>
    </w:p>
    <w:p>
      <w:pPr>
        <w:pStyle w:val="Heading3"/>
      </w:pPr>
      <w:r>
        <w:t>Desktop ≥ 1024px</w:t>
      </w:r>
    </w:p>
    <w:p>
      <w:pPr>
        <w:pStyle w:val="ListBullet"/>
      </w:pPr>
      <w:r>
        <w:t xml:space="preserve">L0 full · L1 expanded (collapsible to 56px icon rail) · L2 </w:t>
      </w:r>
      <w:r>
        <w:rPr>
          <w:b/>
        </w:rPr>
        <w:t>Top Grouping</w:t>
      </w:r>
      <w:r>
        <w:t xml:space="preserve"> horizontal · L3 may be </w:t>
      </w:r>
      <w:r>
        <w:rPr>
          <w:b/>
        </w:rPr>
        <w:t>master + detail side-by-side</w:t>
      </w:r>
      <w:r>
        <w:t xml:space="preserve"> (3-pane permitted).</w:t>
      </w:r>
    </w:p>
    <w:p>
      <w:pPr>
        <w:pStyle w:val="ListBullet"/>
      </w:pPr>
      <w:r>
        <w:t>Record Tabs render as a horizontal tab strip.</w:t>
      </w:r>
    </w:p>
    <w:p>
      <w:pPr>
        <w:ind w:left="240"/>
      </w:pPr>
      <w:r>
        <w:rPr>
          <w:rFonts w:ascii="Consolas" w:hAnsi="Consolas"/>
          <w:sz w:val="18"/>
        </w:rPr>
        <w:t>[L0 ───────────────────────────────────────────────────────────]</w:t>
        <w:br/>
        <w:t>[L1▾][ Title  ·  Group A | Group B | Group C ]</w:t>
        <w:br/>
        <w:t>[   ][ ── master ──┬── detail (record tabs across top) ──────── ]</w:t>
      </w:r>
    </w:p>
    <w:p>
      <w:pPr>
        <w:pStyle w:val="Heading3"/>
      </w:pPr>
      <w:r>
        <w:t>Tablet 768 – 1023px</w:t>
      </w:r>
    </w:p>
    <w:p>
      <w:pPr>
        <w:pStyle w:val="ListBullet"/>
      </w:pPr>
      <w:r>
        <w:t xml:space="preserve">L1 </w:t>
      </w:r>
      <w:r>
        <w:rPr>
          <w:b/>
        </w:rPr>
        <w:t>collapses to icon rail</w:t>
      </w:r>
      <w:r>
        <w:t xml:space="preserve"> (or off-canvas drawer). L2 Top Grouping stays horizontal but </w:t>
      </w:r>
      <w:r>
        <w:rPr>
          <w:b/>
        </w:rPr>
        <w:t>scrolls / overflows</w:t>
      </w:r>
      <w:r>
        <w:t xml:space="preserve">. 3-pane </w:t>
      </w:r>
      <w:r>
        <w:rPr>
          <w:b/>
        </w:rPr>
        <w:t>collapses to drill-down</w:t>
      </w:r>
      <w:r>
        <w:t xml:space="preserve"> (master *or* detail).</w:t>
      </w:r>
    </w:p>
    <w:p>
      <w:pPr>
        <w:pStyle w:val="ListBullet"/>
      </w:pPr>
      <w:r>
        <w:t>Two persistent rails are never shown.</w:t>
      </w:r>
    </w:p>
    <w:p>
      <w:pPr>
        <w:ind w:left="240"/>
      </w:pPr>
      <w:r>
        <w:rPr>
          <w:rFonts w:ascii="Consolas" w:hAnsi="Consolas"/>
          <w:sz w:val="18"/>
        </w:rPr>
        <w:t>[L0 ──────────────────────────────────]</w:t>
        <w:br/>
        <w:t>[▣][ Title · A | B | C ›  (scroll) ]</w:t>
        <w:br/>
        <w:t>[ ][ master  →  (tap)  →  detail   ]</w:t>
      </w:r>
    </w:p>
    <w:p>
      <w:pPr>
        <w:pStyle w:val="Heading3"/>
      </w:pPr>
      <w:r>
        <w:t>Mobile &lt; 768px</w:t>
      </w:r>
    </w:p>
    <w:p>
      <w:pPr>
        <w:pStyle w:val="ListBullet"/>
      </w:pPr>
      <w:r>
        <w:t xml:space="preserve">L1 → </w:t>
      </w:r>
      <w:r>
        <w:rPr>
          <w:b/>
        </w:rPr>
        <w:t>bottom tab bar</w:t>
      </w:r>
      <w:r>
        <w:t xml:space="preserve"> (≤ 5 primary modules) or hamburger. L2 → </w:t>
      </w:r>
      <w:r>
        <w:rPr>
          <w:b/>
        </w:rPr>
        <w:t>scrollable chips</w:t>
      </w:r>
      <w:r>
        <w:t xml:space="preserve"> or a </w:t>
      </w:r>
      <w:r>
        <w:rPr>
          <w:b/>
        </w:rPr>
        <w:t>"Section ▾" dropdown</w:t>
      </w:r>
      <w:r>
        <w:t xml:space="preserve">. L3 single column; detail is a </w:t>
      </w:r>
      <w:r>
        <w:rPr>
          <w:b/>
        </w:rPr>
        <w:t>full-screen push</w:t>
      </w:r>
      <w:r>
        <w:t xml:space="preserve">. Record Tabs → </w:t>
      </w:r>
      <w:r>
        <w:rPr>
          <w:b/>
        </w:rPr>
        <w:t>swipeable segmented control</w:t>
      </w:r>
      <w:r>
        <w:t xml:space="preserve"> or a </w:t>
      </w:r>
      <w:r>
        <w:rPr>
          <w:rFonts w:ascii="Consolas" w:hAnsi="Consolas"/>
          <w:sz w:val="19"/>
        </w:rPr>
        <w:t>select</w:t>
      </w:r>
      <w:r>
        <w:t>.</w:t>
      </w:r>
    </w:p>
    <w:p>
      <w:pPr>
        <w:pStyle w:val="ListBullet"/>
      </w:pPr>
      <w:r>
        <w:t>Touch targets ≥ 44px; primary action as a thumb-reachable FAB or sticky bottom button.</w:t>
      </w:r>
    </w:p>
    <w:p>
      <w:pPr>
        <w:ind w:left="240"/>
      </w:pPr>
      <w:r>
        <w:rPr>
          <w:rFonts w:ascii="Consolas" w:hAnsi="Consolas"/>
          <w:sz w:val="18"/>
        </w:rPr>
        <w:t>[L0 compact ───────────────]</w:t>
        <w:br/>
        <w:t>[ Title          Section ▾ ]</w:t>
        <w:br/>
        <w:t>[ « A »  B   C   (chips)    ]</w:t>
        <w:br/>
        <w:t>[ content (1 col)          ]</w:t>
        <w:br/>
        <w:t>[ 🏠  📦  ✚  🔔  ☰  ] ← bottom</w:t>
      </w:r>
    </w:p>
    <w:p>
      <w:r>
        <w:rPr>
          <w:b/>
        </w:rPr>
        <w:t>Rule of thumb:</w:t>
      </w:r>
      <w:r>
        <w:t xml:space="preserve"> Desktop may show L1+L2+content; Tablet shows L1(icons)+L2+content </w:t>
      </w:r>
      <w:r>
        <w:rPr>
          <w:b/>
        </w:rPr>
        <w:t>or</w:t>
      </w:r>
      <w:r>
        <w:t xml:space="preserve"> L2+content; Mobile shows one of {L1, L2, content} at a time.</w:t>
      </w:r>
    </w:p>
    <w:p>
      <w:pPr>
        <w:pStyle w:val="Heading2"/>
      </w:pPr>
      <w:r>
        <w:rPr>
          <w:color w:val="1F497D"/>
        </w:rPr>
        <w:t>4. When to use which — quick reference 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Use </w:t>
            </w:r>
            <w:r>
              <w:rPr>
                <w:b/>
                <w:color w:val="FFFFFF"/>
              </w:rPr>
              <w:t>Top Grouping</w:t>
            </w:r>
            <w:r>
              <w:rPr>
                <w:b/>
                <w:color w:val="FFFFFF"/>
              </w:rPr>
              <w:t xml:space="preserve"> when…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Use </w:t>
            </w:r>
            <w:r>
              <w:rPr>
                <w:b/>
                <w:color w:val="FFFFFF"/>
              </w:rPr>
              <w:t>Side / Secondary Rail</w:t>
            </w:r>
            <w:r>
              <w:rPr>
                <w:b/>
                <w:color w:val="FFFFFF"/>
              </w:rPr>
              <w:t xml:space="preserve"> when…</w:t>
            </w:r>
          </w:p>
        </w:tc>
      </w:tr>
      <w:tr>
        <w:tc>
          <w:tcPr>
            <w:tcW w:type="dxa" w:w="4320"/>
          </w:tcPr>
          <w:p>
            <w:r>
              <w:t>≤ ~7 sibling sections of one context</w:t>
            </w:r>
          </w:p>
        </w:tc>
        <w:tc>
          <w:tcPr>
            <w:tcW w:type="dxa" w:w="4320"/>
          </w:tcPr>
          <w:p>
            <w:r>
              <w:t xml:space="preserve">The set is a genuine </w:t>
            </w:r>
            <w:r>
              <w:rPr>
                <w:b/>
              </w:rPr>
              <w:t>tree</w:t>
            </w:r>
            <w:r>
              <w:t xml:space="preserve"> (depth &gt; 1)</w:t>
            </w:r>
          </w:p>
        </w:tc>
      </w:tr>
      <w:tr>
        <w:tc>
          <w:tcPr>
            <w:tcW w:type="dxa" w:w="4320"/>
          </w:tcPr>
          <w:p>
            <w:r>
              <w:t>Switching *facets* of the same object</w:t>
            </w:r>
          </w:p>
        </w:tc>
        <w:tc>
          <w:tcPr>
            <w:tcW w:type="dxa" w:w="4320"/>
          </w:tcPr>
          <w:p>
            <w:r>
              <w:t xml:space="preserve">Cross-entity </w:t>
            </w:r>
            <w:r>
              <w:rPr>
                <w:b/>
              </w:rPr>
              <w:t>launcher</w:t>
            </w:r>
            <w:r>
              <w:t xml:space="preserve"> spanning types</w:t>
            </w:r>
          </w:p>
        </w:tc>
      </w:tr>
      <w:tr>
        <w:tc>
          <w:tcPr>
            <w:tcW w:type="dxa" w:w="4320"/>
          </w:tcPr>
          <w:p>
            <w:r>
              <w:t>Sections are stable and named</w:t>
            </w:r>
          </w:p>
        </w:tc>
        <w:tc>
          <w:tcPr>
            <w:tcW w:type="dxa" w:w="4320"/>
          </w:tcPr>
          <w:p>
            <w:r>
              <w:t>An unbounded set with no ≤7 grouping</w:t>
            </w:r>
          </w:p>
        </w:tc>
      </w:tr>
      <w:tr>
        <w:tc>
          <w:tcPr>
            <w:tcW w:type="dxa" w:w="4320"/>
          </w:tcPr>
          <w:p>
            <w:r>
              <w:t>You want to preserve content width</w:t>
            </w:r>
          </w:p>
        </w:tc>
        <w:tc>
          <w:tcPr>
            <w:tcW w:type="dxa" w:w="4320"/>
          </w:tcPr>
          <w:p>
            <w:r>
              <w:t>Persistent wayfinding across many peers is the core job</w:t>
            </w:r>
          </w:p>
        </w:tc>
      </w:tr>
      <w:tr>
        <w:tc>
          <w:tcPr>
            <w:tcW w:type="dxa" w:w="4320"/>
          </w:tcPr>
          <w:p>
            <w:r>
              <w:t>Mobile parity matters (tabs → chips)</w:t>
            </w:r>
          </w:p>
        </w:tc>
        <w:tc>
          <w:tcPr>
            <w:tcW w:type="dxa" w:w="4320"/>
          </w:tcPr>
          <w:p>
            <w:r>
              <w:t>(and you accept the width cost on desktop)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Use a </w:t>
            </w:r>
            <w:r>
              <w:rPr>
                <w:b/>
                <w:color w:val="FFFFFF"/>
              </w:rPr>
              <w:t>Master List (content)</w:t>
            </w:r>
            <w:r>
              <w:rPr>
                <w:b/>
                <w:color w:val="FFFFFF"/>
              </w:rPr>
              <w:t xml:space="preserve"> when…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Enter </w:t>
            </w:r>
            <w:r>
              <w:rPr>
                <w:b/>
                <w:color w:val="FFFFFF"/>
              </w:rPr>
              <w:t>Focus Mode</w:t>
            </w:r>
            <w:r>
              <w:rPr>
                <w:b/>
                <w:color w:val="FFFFFF"/>
              </w:rPr>
              <w:t xml:space="preserve"> when…</w:t>
            </w:r>
          </w:p>
        </w:tc>
      </w:tr>
      <w:tr>
        <w:tc>
          <w:tcPr>
            <w:tcW w:type="dxa" w:w="4320"/>
          </w:tcPr>
          <w:p>
            <w:r>
              <w:t>The screen is a collection of records</w:t>
            </w:r>
          </w:p>
        </w:tc>
        <w:tc>
          <w:tcPr>
            <w:tcW w:type="dxa" w:w="4320"/>
          </w:tcPr>
          <w:p>
            <w:r>
              <w:t>The task is transactional &amp; single-purpose (POS)</w:t>
            </w:r>
          </w:p>
        </w:tc>
      </w:tr>
      <w:tr>
        <w:tc>
          <w:tcPr>
            <w:tcW w:type="dxa" w:w="4320"/>
          </w:tcPr>
          <w:p>
            <w:r>
              <w:t>You need master–detail on one entity type</w:t>
            </w:r>
          </w:p>
        </w:tc>
        <w:tc>
          <w:tcPr>
            <w:tcW w:type="dxa" w:w="4320"/>
          </w:tcPr>
          <w:p>
            <w:r>
              <w:t>Wayfinding would distract (checkout, counts)</w:t>
            </w:r>
          </w:p>
        </w:tc>
      </w:tr>
    </w:tbl>
    <w:p/>
    <w:p>
      <w:pPr>
        <w:pStyle w:val="Heading2"/>
      </w:pPr>
      <w:r>
        <w:rPr>
          <w:color w:val="1F497D"/>
        </w:rPr>
        <w:t>5. Evaluation — existing Admin Workbench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Current L2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Companies</w:t>
            </w:r>
          </w:p>
        </w:tc>
        <w:tc>
          <w:tcPr>
            <w:tcW w:type="dxa" w:w="2160"/>
          </w:tcPr>
          <w:p>
            <w:r>
              <w:t xml:space="preserve">Master List (content) + Company360 </w:t>
            </w:r>
            <w:r>
              <w:rPr>
                <w:b/>
              </w:rPr>
              <w:t>Record Tabs</w:t>
            </w:r>
            <w:r>
              <w:t xml:space="preserve"> (top)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t>None — exemplary master–detail + top facets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>
              <w:t>Master List + Record Tabs (Profile / Roles &amp; Branches)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2160"/>
          </w:tcPr>
          <w:p>
            <w:r>
              <w:t>Master List + Record Tabs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Branches</w:t>
            </w:r>
          </w:p>
        </w:tc>
        <w:tc>
          <w:tcPr>
            <w:tcW w:type="dxa" w:w="2160"/>
          </w:tcPr>
          <w:p>
            <w:r>
              <w:t>Master List + Record Tabs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160"/>
          </w:tcPr>
          <w:p>
            <w:r>
              <w:t>Master List (capability domains) + Record Tabs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 Grouping</w:t>
            </w:r>
            <w:r>
              <w:t xml:space="preserve"> (Connections / API Keys / Webhooks / Sync)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t>None — already the target shape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Persistent side sub-nav</w:t>
            </w:r>
            <w:r>
              <w:t xml:space="preserve"> over ~18 pages</w:t>
            </w:r>
          </w:p>
        </w:tc>
        <w:tc>
          <w:tcPr>
            <w:tcW w:type="dxa" w:w="2160"/>
          </w:tcPr>
          <w:p>
            <w:r>
              <w:t xml:space="preserve">⚠️ </w:t>
            </w:r>
            <w:r>
              <w:rPr>
                <w:b/>
              </w:rPr>
              <w:t>Exception by 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Re-chunk</w:t>
            </w:r>
            <w:r>
              <w:t xml:space="preserve"> into ≤ 7 top groups (below); side list survives only *inside* a group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Admin Nav Tree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/admin</w:t>
            </w:r>
            <w:r>
              <w:t>)</w:t>
            </w:r>
          </w:p>
        </w:tc>
        <w:tc>
          <w:tcPr>
            <w:tcW w:type="dxa" w:w="2160"/>
          </w:tcPr>
          <w:p>
            <w:r>
              <w:t>Secondary tree rail (flag-gated)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Sanctioned exception</w:t>
            </w:r>
            <w:r>
              <w:t xml:space="preserve"> (Art. IV.1/3)</w:t>
            </w:r>
          </w:p>
        </w:tc>
        <w:tc>
          <w:tcPr>
            <w:tcW w:type="dxa" w:w="2160"/>
          </w:tcPr>
          <w:p>
            <w:r>
              <w:t xml:space="preserve">Keep </w:t>
            </w:r>
            <w:r>
              <w:rPr>
                <w:b/>
              </w:rPr>
              <w:t>opt-in</w:t>
            </w:r>
            <w:r>
              <w:t xml:space="preserve">; must </w:t>
            </w:r>
            <w:r>
              <w:rPr>
                <w:b/>
              </w:rPr>
              <w:t>consolidate</w:t>
            </w:r>
            <w:r>
              <w:t xml:space="preserve"> not stack (§7)</w:t>
            </w:r>
          </w:p>
        </w:tc>
      </w:tr>
    </w:tbl>
    <w:p/>
    <w:p>
      <w:pPr>
        <w:pStyle w:val="Heading3"/>
      </w:pPr>
      <w:r>
        <w:t>Settings — recommended re-chunking (top grouping)</w:t>
      </w:r>
    </w:p>
    <w:p>
      <w:r>
        <w:t xml:space="preserve">18 flat side items → </w:t>
      </w:r>
      <w:r>
        <w:rPr>
          <w:b/>
        </w:rPr>
        <w:t>5 top groups</w:t>
      </w:r>
      <w:r>
        <w:t>, each revealing a small list/grid:</w:t>
      </w:r>
    </w:p>
    <w:p>
      <w:pPr>
        <w:ind w:left="240"/>
      </w:pPr>
      <w:r>
        <w:rPr>
          <w:rFonts w:ascii="Consolas" w:hAnsi="Consolas"/>
          <w:sz w:val="18"/>
        </w:rPr>
        <w:t>Settings</w:t>
        <w:br/>
        <w:t>[ Organization | Commerce | Field Ops | Governance | System ]</w:t>
        <w:br/>
        <w:t xml:space="preserve"> ── Organization → Branches · Staff · UoM · Tax Reg · Territory …</w:t>
        <w:br/>
        <w:t xml:space="preserve"> ── Governance   → Roles &amp; Permissions · Users · Features · Audit …</w:t>
      </w:r>
    </w:p>
    <w:p>
      <w:r>
        <w:t>This removes the long flat rail, keeps each group ≤ ~6 items, and gives Settings the same shape as every other module. *(Reorganization only — no logic/permission/RLS change; deferred until approved.)*</w:t>
      </w:r>
    </w:p>
    <w:p>
      <w:r>
        <w:rPr>
          <w:b/>
        </w:rPr>
        <w:t>Headline:</w:t>
      </w:r>
      <w:r>
        <w:t xml:space="preserve"> 6 of 8 Admin surfaces are </w:t>
      </w:r>
      <w:r>
        <w:rPr>
          <w:b/>
        </w:rPr>
        <w:t>already compliant</w:t>
      </w:r>
      <w:r>
        <w:t xml:space="preserve"> with the proposed standard. The standard largely *ratifies* the Workbench pattern and fixes one outlier (Settings).</w:t>
      </w:r>
    </w:p>
    <w:p>
      <w:pPr>
        <w:pStyle w:val="Heading2"/>
      </w:pPr>
      <w:r>
        <w:rPr>
          <w:color w:val="1F497D"/>
        </w:rPr>
        <w:t>6. Evaluation — future modules</w:t>
      </w:r>
    </w:p>
    <w:p>
      <w:r>
        <w:t>Each is mapped to the standard so it is built right the first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L1 entry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L2 (Top Grouping unless noted)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Exceptions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Focus Mode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CRM</w:t>
            </w:r>
          </w:p>
        </w:tc>
        <w:tc>
          <w:tcPr>
            <w:tcW w:type="dxa" w:w="1728"/>
          </w:tcPr>
          <w:p>
            <w:r>
              <w:t>CRM</w:t>
            </w:r>
          </w:p>
        </w:tc>
        <w:tc>
          <w:tcPr>
            <w:tcW w:type="dxa" w:w="1728"/>
          </w:tcPr>
          <w:p>
            <w:r>
              <w:t>Pipeline · Leads · Accounts · Contacts · Opportunities · Activities</w:t>
            </w:r>
          </w:p>
        </w:tc>
        <w:tc>
          <w:tcPr>
            <w:tcW w:type="dxa" w:w="1728"/>
          </w:tcPr>
          <w:p>
            <w:r>
              <w:t>Each group → Master List + record facets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Warehouse</w:t>
            </w:r>
          </w:p>
        </w:tc>
        <w:tc>
          <w:tcPr>
            <w:tcW w:type="dxa" w:w="1728"/>
          </w:tcPr>
          <w:p>
            <w:r>
              <w:t>Warehouse</w:t>
            </w:r>
          </w:p>
        </w:tc>
        <w:tc>
          <w:tcPr>
            <w:tcW w:type="dxa" w:w="1728"/>
          </w:tcPr>
          <w:p>
            <w:r>
              <w:t>Inventory · Receiving · Transfers · Counts · Bins</w:t>
            </w:r>
          </w:p>
        </w:tc>
        <w:tc>
          <w:tcPr>
            <w:tcW w:type="dxa" w:w="1728"/>
          </w:tcPr>
          <w:p>
            <w:r>
              <w:t>Inventory = Master List</w:t>
            </w:r>
          </w:p>
        </w:tc>
        <w:tc>
          <w:tcPr>
            <w:tcW w:type="dxa" w:w="1728"/>
          </w:tcPr>
          <w:p>
            <w:r>
              <w:t>Guided Count → Focus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Accounting</w:t>
            </w:r>
          </w:p>
        </w:tc>
        <w:tc>
          <w:tcPr>
            <w:tcW w:type="dxa" w:w="1728"/>
          </w:tcPr>
          <w:p>
            <w:r>
              <w:t>Accounting</w:t>
            </w:r>
          </w:p>
        </w:tc>
        <w:tc>
          <w:tcPr>
            <w:tcW w:type="dxa" w:w="1728"/>
          </w:tcPr>
          <w:p>
            <w:r>
              <w:t>Transactions · Records · Reports · Periods · Setup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Chart of Accounts = tree (Secondary Rail)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People · Org · Attendance · Leave · Payroll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 Chart = tree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Pharmacy</w:t>
            </w:r>
          </w:p>
        </w:tc>
        <w:tc>
          <w:tcPr>
            <w:tcW w:type="dxa" w:w="1728"/>
          </w:tcPr>
          <w:p>
            <w:r>
              <w:t>Pharmacy</w:t>
            </w:r>
          </w:p>
        </w:tc>
        <w:tc>
          <w:tcPr>
            <w:tcW w:type="dxa" w:w="1728"/>
          </w:tcPr>
          <w:p>
            <w:r>
              <w:t>Dispense · Inventory/Batches · Prescriptions · Offline</w:t>
            </w:r>
          </w:p>
        </w:tc>
        <w:tc>
          <w:tcPr>
            <w:tcW w:type="dxa" w:w="1728"/>
          </w:tcPr>
          <w:p>
            <w:r>
              <w:t>Batches = Master List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POS/Dispense = Focus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POS</w:t>
            </w:r>
          </w:p>
        </w:tc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(cart → payment steps only)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Always Focus Mode</w:t>
            </w:r>
            <w:r>
              <w:t xml:space="preserve"> (no L1)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Center</w:t>
            </w:r>
          </w:p>
        </w:tc>
        <w:tc>
          <w:tcPr>
            <w:tcW w:type="dxa" w:w="1728"/>
          </w:tcPr>
          <w:p>
            <w:r>
              <w:t>AI Center</w:t>
            </w:r>
          </w:p>
        </w:tc>
        <w:tc>
          <w:tcPr>
            <w:tcW w:type="dxa" w:w="1728"/>
          </w:tcPr>
          <w:p>
            <w:r>
              <w:t>Insights · Assistants · Automations · Settings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1728"/>
          </w:tcPr>
          <w:p>
            <w:r>
              <w:t>Integrations</w:t>
            </w:r>
          </w:p>
        </w:tc>
        <w:tc>
          <w:tcPr>
            <w:tcW w:type="dxa" w:w="1728"/>
          </w:tcPr>
          <w:p>
            <w:r>
              <w:t>Connections · API Keys · Webhooks · Sync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b/>
        </w:rPr>
        <w:t>Every future module resolves to Top Grouping by default</w:t>
      </w:r>
      <w:r>
        <w:t>, with the two tree modules (Accounting CoA, HR Org) and POS Focus Mode as the only principled deviations — each pre-justified by Articles IV/V rather than invented per-screen.</w:t>
      </w:r>
    </w:p>
    <w:p>
      <w:pPr>
        <w:pStyle w:val="Heading2"/>
      </w:pPr>
      <w:r>
        <w:rPr>
          <w:color w:val="1F497D"/>
        </w:rPr>
        <w:t>7. Does the Navigation Tree change this recommendation?</w:t>
      </w:r>
    </w:p>
    <w:p>
      <w:r>
        <w:rPr>
          <w:b/>
        </w:rPr>
        <w:t>No — and the relationship must be stated explicitly, because they pull in opposite directions.</w:t>
      </w:r>
    </w:p>
    <w:p>
      <w:pPr>
        <w:pStyle w:val="ListBullet"/>
      </w:pPr>
      <w:r>
        <w:t xml:space="preserve">The </w:t>
      </w:r>
      <w:r>
        <w:rPr>
          <w:b/>
        </w:rPr>
        <w:t>Standard</w:t>
      </w:r>
      <w:r>
        <w:t xml:space="preserve"> removes vertical layers (rail → top grouping).</w:t>
      </w:r>
    </w:p>
    <w:p>
      <w:pPr>
        <w:pStyle w:val="ListBullet"/>
      </w:pPr>
      <w:r>
        <w:t xml:space="preserve">The </w:t>
      </w:r>
      <w:r>
        <w:rPr>
          <w:b/>
        </w:rPr>
        <w:t>Navigation Tree</w:t>
      </w:r>
      <w:r>
        <w:t xml:space="preserve"> *adds* a vertical layer (a cross-entity tree rail).</w:t>
      </w:r>
    </w:p>
    <w:p>
      <w:r>
        <w:t>They reconcile under Article IV/VI:</w:t>
      </w:r>
    </w:p>
    <w:p>
      <w:pPr>
        <w:pStyle w:val="ListNumber"/>
      </w:pPr>
      <w:r>
        <w:rPr>
          <w:b/>
        </w:rPr>
        <w:t>The Tree is an exception, not the default.</w:t>
      </w:r>
      <w:r>
        <w:t xml:space="preserve"> It qualifies (tree + cross-entity launcher), so it is *allowed* — but it is </w:t>
      </w:r>
      <w:r>
        <w:rPr>
          <w:b/>
        </w:rPr>
        <w:t>not</w:t>
      </w:r>
      <w:r>
        <w:t xml:space="preserve"> the in-module navigation pattern any module should copy. Modules still default to Top Grouping.</w:t>
      </w:r>
    </w:p>
    <w:p>
      <w:pPr>
        <w:pStyle w:val="ListNumber"/>
      </w:pPr>
      <w:r>
        <w:rPr>
          <w:b/>
        </w:rPr>
        <w:t>The Tree must consolidate, never stack.</w:t>
      </w:r>
      <w:r>
        <w:t xml:space="preserve"> In today's </w:t>
      </w:r>
      <w:r>
        <w:rPr>
          <w:b/>
        </w:rPr>
        <w:t>Model B</w:t>
      </w:r>
      <w:r>
        <w:t xml:space="preserve"> the tree is a *standalone launcher* — clicking a node leaves </w:t>
      </w:r>
      <w:r>
        <w:rPr>
          <w:rFonts w:ascii="Consolas" w:hAnsi="Consolas"/>
          <w:sz w:val="19"/>
        </w:rPr>
        <w:t>/admin</w:t>
      </w:r>
      <w:r>
        <w:t xml:space="preserve"> for the workbench, so no two rails coexist. ✅ Compliant. If/when it becomes the </w:t>
      </w:r>
      <w:r>
        <w:rPr>
          <w:b/>
        </w:rPr>
        <w:t>embedded Model A shell</w:t>
      </w:r>
      <w:r>
        <w:t xml:space="preserve">, the tree must </w:t>
      </w:r>
      <w:r>
        <w:rPr>
          <w:b/>
        </w:rPr>
        <w:t>replace</w:t>
      </w:r>
      <w:r>
        <w:t xml:space="preserve"> each workbench's Master List (becoming the single L2), not sit *beside* it. A tree </w:t>
      </w:r>
      <w:r>
        <w:rPr>
          <w:b/>
        </w:rPr>
        <w:t>plus</w:t>
      </w:r>
      <w:r>
        <w:t xml:space="preserve"> a list </w:t>
      </w:r>
      <w:r>
        <w:rPr>
          <w:b/>
        </w:rPr>
        <w:t>plus</w:t>
      </w:r>
      <w:r>
        <w:t xml:space="preserve"> facets would violate Article II.</w:t>
      </w:r>
    </w:p>
    <w:p>
      <w:pPr>
        <w:pStyle w:val="ListNumber"/>
      </w:pPr>
      <w:r>
        <w:rPr>
          <w:b/>
        </w:rPr>
        <w:t>The Tree stays opt-in / role-scoped.</w:t>
      </w:r>
      <w:r>
        <w:t xml:space="preserve"> It is a power surface for platform-owners/admins who traverse many entities — flag-gated, not imposed on every user as permanent chrome.</w:t>
      </w:r>
    </w:p>
    <w:p>
      <w:r>
        <w:t xml:space="preserve">So the Navigation Tree is fully consistent with the Constitution </w:t>
      </w:r>
      <w:r>
        <w:rPr>
          <w:b/>
        </w:rPr>
        <w:t>provided</w:t>
      </w:r>
      <w:r>
        <w:t xml:space="preserve"> it remains (a) opt-in and (b) consolidating. This is the governing rule for the later "embedded </w:t>
      </w:r>
      <w:r>
        <w:rPr>
          <w:rFonts w:ascii="Consolas" w:hAnsi="Consolas"/>
          <w:sz w:val="19"/>
        </w:rPr>
        <w:t>/admin</w:t>
      </w:r>
      <w:r>
        <w:t xml:space="preserve"> shell" evaluation.</w:t>
      </w:r>
    </w:p>
    <w:p>
      <w:pPr>
        <w:pStyle w:val="Heading2"/>
      </w:pPr>
      <w:r>
        <w:rPr>
          <w:color w:val="1F497D"/>
        </w:rPr>
        <w:t>8. Migration impact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t>Companies / Users / Roles / Branches / Features</w:t>
            </w:r>
          </w:p>
        </w:tc>
        <w:tc>
          <w:tcPr>
            <w:tcW w:type="dxa" w:w="2160"/>
          </w:tcPr>
          <w:p>
            <w:r>
              <w:t>None — already compliant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None — already top grouping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re-chunk</w:t>
            </w:r>
            <w:r>
              <w:t xml:space="preserve"> to 5 top groups</w:t>
            </w:r>
          </w:p>
        </w:tc>
        <w:tc>
          <w:tcPr>
            <w:tcW w:type="dxa" w:w="2160"/>
          </w:tcPr>
          <w:p>
            <w:r>
              <w:t>Reorg of links 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S–M</w:t>
            </w:r>
          </w:p>
        </w:tc>
        <w:tc>
          <w:tcPr>
            <w:tcW w:type="dxa" w:w="2160"/>
          </w:tcPr>
          <w:p>
            <w:r>
              <w:t>Low (no logic change)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Shared `ModulePage` primitive</w:t>
            </w:r>
            <w:r>
              <w:t xml:space="preserve"> (renders L1 slot + Top Grouping + content; bans a 2nd rail by construction)</w:t>
            </w:r>
          </w:p>
        </w:tc>
        <w:tc>
          <w:tcPr>
            <w:tcW w:type="dxa" w:w="2160"/>
          </w:tcPr>
          <w:p>
            <w:r>
              <w:t xml:space="preserve">New layout component reusing existing </w:t>
            </w:r>
            <w:r>
              <w:rPr>
                <w:rFonts w:ascii="Consolas" w:hAnsi="Consolas"/>
                <w:sz w:val="19"/>
              </w:rPr>
              <w:t>EntityTabs</w:t>
            </w:r>
            <w:r>
              <w:t xml:space="preserve"> as the grouping control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t>Low (additive)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Responsive rules</w:t>
            </w:r>
            <w:r>
              <w:t xml:space="preserve"> baked into the primitive</w:t>
            </w:r>
          </w:p>
        </w:tc>
        <w:tc>
          <w:tcPr>
            <w:tcW w:type="dxa" w:w="2160"/>
          </w:tcPr>
          <w:p>
            <w:r>
              <w:t>Tablet icon-rail + mobile chips/bottom-bar handled once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Future modules (CRM…AI Center)</w:t>
            </w:r>
          </w:p>
        </w:tc>
        <w:tc>
          <w:tcPr>
            <w:tcW w:type="dxa" w:w="2160"/>
          </w:tcPr>
          <w:p>
            <w:r>
              <w:t>Build *on* the primitive from day one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Prevents debt</w:t>
            </w:r>
          </w:p>
        </w:tc>
      </w:tr>
      <w:tr>
        <w:tc>
          <w:tcPr>
            <w:tcW w:type="dxa" w:w="2160"/>
          </w:tcPr>
          <w:p>
            <w:r>
              <w:t>Navigation Tree (Model A, later)</w:t>
            </w:r>
          </w:p>
        </w:tc>
        <w:tc>
          <w:tcPr>
            <w:tcW w:type="dxa" w:w="2160"/>
          </w:tcPr>
          <w:p>
            <w:r>
              <w:t>Must consolidate the list when embedded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t>Med — governed by §7</w:t>
            </w:r>
          </w:p>
        </w:tc>
      </w:tr>
    </w:tbl>
    <w:p/>
    <w:p>
      <w:r>
        <w:rPr>
          <w:b/>
        </w:rPr>
        <w:t>The cheapest, highest-leverage move is governance, not rework:</w:t>
      </w:r>
      <w:r>
        <w:t xml:space="preserve"> promote the existing </w:t>
      </w:r>
      <w:r>
        <w:rPr>
          <w:rFonts w:ascii="Consolas" w:hAnsi="Consolas"/>
          <w:sz w:val="19"/>
        </w:rPr>
        <w:t>EntityTabs</w:t>
      </w:r>
      <w:r>
        <w:t xml:space="preserve"> into a platform </w:t>
      </w:r>
      <w:r>
        <w:rPr>
          <w:b/>
        </w:rPr>
        <w:t>`TopGroupingNav`</w:t>
      </w:r>
      <w:r>
        <w:t xml:space="preserve"> primitive and wrap modules in a </w:t>
      </w:r>
      <w:r>
        <w:rPr>
          <w:b/>
        </w:rPr>
        <w:t>`ModulePage`</w:t>
      </w:r>
      <w:r>
        <w:t xml:space="preserve"> shell that *structurally cannot* render a second persistent rail (no API for it). New modules then inherit the standard automatically — satisfying the goal that *"any new module automatically follows the approved navigation standard."* No business logic, permissions, RLS, or workflows are touched by any of this.</w:t>
      </w:r>
    </w:p>
    <w:p>
      <w:pPr>
        <w:pStyle w:val="Heading2"/>
      </w:pPr>
      <w:r>
        <w:rPr>
          <w:color w:val="1F497D"/>
        </w:rPr>
        <w:t>9. Recommendation</w:t>
      </w:r>
    </w:p>
    <w:p>
      <w:pPr>
        <w:pStyle w:val="ListNumber"/>
      </w:pPr>
      <w:r>
        <w:rPr>
          <w:b/>
        </w:rPr>
        <w:t>Adopt</w:t>
      </w:r>
      <w:r>
        <w:t xml:space="preserve"> this Standard as the VANTORA Navigation Constitution (Articles I–V + responsive rules).</w:t>
      </w:r>
    </w:p>
    <w:p>
      <w:pPr>
        <w:pStyle w:val="ListNumber"/>
      </w:pPr>
      <w:r>
        <w:rPr>
          <w:b/>
        </w:rPr>
        <w:t>Ratify</w:t>
      </w:r>
      <w:r>
        <w:t xml:space="preserve"> the 6 compliant Admin surfaces; </w:t>
      </w:r>
      <w:r>
        <w:rPr>
          <w:b/>
        </w:rPr>
        <w:t>schedule</w:t>
      </w:r>
      <w:r>
        <w:t xml:space="preserve"> only the Settings re-chunk.</w:t>
      </w:r>
    </w:p>
    <w:p>
      <w:pPr>
        <w:pStyle w:val="ListNumber"/>
      </w:pPr>
      <w:r>
        <w:rPr>
          <w:b/>
        </w:rPr>
        <w:t>Build</w:t>
      </w:r>
      <w:r>
        <w:t xml:space="preserve"> the </w:t>
      </w:r>
      <w:r>
        <w:rPr>
          <w:rFonts w:ascii="Consolas" w:hAnsi="Consolas"/>
          <w:sz w:val="19"/>
        </w:rPr>
        <w:t>ModulePage</w:t>
      </w:r>
      <w:r>
        <w:t xml:space="preserve"> + </w:t>
      </w:r>
      <w:r>
        <w:rPr>
          <w:rFonts w:ascii="Consolas" w:hAnsi="Consolas"/>
          <w:sz w:val="19"/>
        </w:rPr>
        <w:t>TopGroupingNav</w:t>
      </w:r>
      <w:r>
        <w:t xml:space="preserve"> primitives (reusing </w:t>
      </w:r>
      <w:r>
        <w:rPr>
          <w:rFonts w:ascii="Consolas" w:hAnsi="Consolas"/>
          <w:sz w:val="19"/>
        </w:rPr>
        <w:t>EntityTabs</w:t>
      </w:r>
      <w:r>
        <w:t>) so compliance is the path of least resistance.</w:t>
      </w:r>
    </w:p>
    <w:p>
      <w:pPr>
        <w:pStyle w:val="ListNumber"/>
      </w:pPr>
      <w:r>
        <w:rPr>
          <w:b/>
        </w:rPr>
        <w:t>Bind</w:t>
      </w:r>
      <w:r>
        <w:t xml:space="preserve"> all future modules (CRM, Warehouse, Accounting, HR, Pharmacy, POS, AI Center, Integrations) to the per-module mappings in §6.</w:t>
      </w:r>
    </w:p>
    <w:p>
      <w:pPr>
        <w:pStyle w:val="ListNumber"/>
      </w:pPr>
      <w:r>
        <w:rPr>
          <w:b/>
        </w:rPr>
        <w:t>Govern</w:t>
      </w:r>
      <w:r>
        <w:t xml:space="preserve"> the Navigation Tree by §7 — opt-in, consolidating — when the embedded shell is evaluated.</w:t>
      </w:r>
    </w:p>
    <w:p>
      <w:r>
        <w:t xml:space="preserve">*No code in this phase. On approval, the first concrete step is the </w:t>
      </w:r>
      <w:r>
        <w:rPr>
          <w:rFonts w:ascii="Consolas" w:hAnsi="Consolas"/>
          <w:sz w:val="19"/>
        </w:rPr>
        <w:t>ModulePage</w:t>
      </w:r>
      <w:r>
        <w:t>/</w:t>
      </w:r>
      <w:r>
        <w:rPr>
          <w:rFonts w:ascii="Consolas" w:hAnsi="Consolas"/>
          <w:sz w:val="19"/>
        </w:rPr>
        <w:t>TopGroupingNav</w:t>
      </w:r>
      <w:r>
        <w:t xml:space="preserve"> primitive (additive, reuse-only), followed by the Settings re-chunk.*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