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FMCG Pilot Readiness Audit</w:t>
      </w:r>
    </w:p>
    <w:p>
      <w:pPr>
        <w:jc w:val="center"/>
      </w:pPr>
      <w:r>
        <w:rPr>
          <w:i/>
          <w:sz w:val="25"/>
        </w:rPr>
        <w:t>Kako Van-Sales · Feature · UI · Role · Permission · Mobile · Gaps · G1 Closure</w:t>
      </w:r>
    </w:p>
    <w:p>
      <w:pPr>
        <w:jc w:val="center"/>
      </w:pPr>
      <w:r>
        <w:rPr>
          <w:sz w:val="22"/>
        </w:rPr>
        <w:t>Generated 2026-06-16 · PR #311 · branch claude/fmcg-sell-collect-loop</w:t>
      </w:r>
    </w:p>
    <w:p>
      <w:r>
        <w:br w:type="page"/>
      </w:r>
    </w:p>
    <w:p>
      <w:pPr>
        <w:pStyle w:val="Heading1"/>
      </w:pPr>
      <w:r>
        <w:rPr>
          <w:color w:val="1F497D"/>
        </w:rPr>
        <w:t>FMCG Pilot Readiness Audit</w:t>
      </w:r>
    </w:p>
    <w:p>
      <w:r>
        <w:rPr>
          <w:b/>
        </w:rPr>
        <w:t>Project:</w:t>
      </w:r>
      <w:r>
        <w:t xml:space="preserve"> Kako Van-Sales — FMCG distributor pilot</w:t>
      </w:r>
    </w:p>
    <w:p>
      <w:r>
        <w:rPr>
          <w:b/>
        </w:rPr>
        <w:t>Branch:</w:t>
      </w:r>
      <w:r>
        <w:t xml:space="preserve"> </w:t>
      </w:r>
      <w:r>
        <w:rPr>
          <w:rFonts w:ascii="Consolas" w:hAnsi="Consolas"/>
          <w:sz w:val="19"/>
        </w:rPr>
        <w:t>claude/fmcg-sell-collect-loop</w:t>
      </w:r>
      <w:r>
        <w:t xml:space="preserve"> · </w:t>
      </w:r>
      <w:r>
        <w:rPr>
          <w:b/>
        </w:rPr>
        <w:t>PR #311</w:t>
      </w:r>
    </w:p>
    <w:p>
      <w:r>
        <w:rPr>
          <w:b/>
        </w:rPr>
        <w:t>Scope:</w:t>
      </w:r>
      <w:r>
        <w:t xml:space="preserve"> sell → invoice → collect → return → reconcile → day-close; route / visit cockpit; visit outcomes; credit control; governance.</w:t>
      </w:r>
    </w:p>
    <w:p>
      <w:r>
        <w:rPr>
          <w:b/>
        </w:rPr>
        <w:t>Status at audit:</w:t>
      </w:r>
      <w:r>
        <w:t xml:space="preserve"> build green · 1,448 unit tests pass · feature development frozen (analysis + gap-closure only).</w:t>
      </w:r>
    </w:p>
    <w:p>
      <w:r>
        <w:t>This report covers the six requested deliverables — Feature Inventory, UI Coverage Audit, Role Coverage Audit, Permission Audit, Mobile Audit, Gap Report — followed by the closure of the one blocker-for-enforcement gap (G1).</w:t>
      </w:r>
    </w:p>
    <w:p>
      <w:pPr>
        <w:pStyle w:val="Heading2"/>
      </w:pPr>
      <w:r>
        <w:rPr>
          <w:color w:val="1F497D"/>
        </w:rPr>
        <w:t>1. Feature Inventory</w:t>
      </w:r>
    </w:p>
    <w:p>
      <w:pPr>
        <w:pStyle w:val="Heading3"/>
      </w:pPr>
      <w:r>
        <w:t>1.1 Transactional spine (fully implemented)</w:t>
      </w:r>
    </w:p>
    <w:p>
      <w:r>
        <w:t xml:space="preserve">Each core operation is an atomic </w:t>
      </w:r>
      <w:r>
        <w:rPr>
          <w:rFonts w:ascii="Consolas" w:hAnsi="Consolas"/>
          <w:sz w:val="19"/>
        </w:rPr>
        <w:t>SECURITY DEFINER</w:t>
      </w:r>
      <w:r>
        <w:t xml:space="preserve"> RPC.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Capability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RPC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Migration</w:t>
            </w:r>
          </w:p>
        </w:tc>
      </w:tr>
      <w:tr>
        <w:tc>
          <w:tcPr>
            <w:tcW w:type="dxa" w:w="2880"/>
          </w:tcPr>
          <w:p>
            <w:r>
              <w:t>Van sale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erp_van_sell</w:t>
            </w:r>
            <w:r>
              <w:t xml:space="preserve"> (+ </w:t>
            </w:r>
            <w:r>
              <w:rPr>
                <w:rFonts w:ascii="Consolas" w:hAnsi="Consolas"/>
                <w:sz w:val="19"/>
              </w:rPr>
              <w:t>_uom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_with_payment</w:t>
            </w:r>
            <w:r>
              <w:t>)</w:t>
            </w:r>
          </w:p>
        </w:tc>
        <w:tc>
          <w:tcPr>
            <w:tcW w:type="dxa" w:w="2880"/>
          </w:tcPr>
          <w:p>
            <w:r>
              <w:t>0265 / 0305 / 0306</w:t>
            </w:r>
          </w:p>
        </w:tc>
      </w:tr>
      <w:tr>
        <w:tc>
          <w:tcPr>
            <w:tcW w:type="dxa" w:w="2880"/>
          </w:tcPr>
          <w:p>
            <w:r>
              <w:t>Return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erp_van_return</w:t>
            </w:r>
          </w:p>
        </w:tc>
        <w:tc>
          <w:tcPr>
            <w:tcW w:type="dxa" w:w="2880"/>
          </w:tcPr>
          <w:p>
            <w:r>
              <w:t>0266</w:t>
            </w:r>
          </w:p>
        </w:tc>
      </w:tr>
      <w:tr>
        <w:tc>
          <w:tcPr>
            <w:tcW w:type="dxa" w:w="2880"/>
          </w:tcPr>
          <w:p>
            <w:r>
              <w:t>Collection (multi-invoice)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erp_settle_collection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erp_reverse_collection</w:t>
            </w:r>
          </w:p>
        </w:tc>
        <w:tc>
          <w:tcPr>
            <w:tcW w:type="dxa" w:w="2880"/>
          </w:tcPr>
          <w:p>
            <w:r>
              <w:t>0267 / 0273</w:t>
            </w:r>
          </w:p>
        </w:tc>
      </w:tr>
      <w:tr>
        <w:tc>
          <w:tcPr>
            <w:tcW w:type="dxa" w:w="2880"/>
          </w:tcPr>
          <w:p>
            <w:r>
              <w:t>Day close (+ approve)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erp_close_day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erp_approve_day_close</w:t>
            </w:r>
          </w:p>
        </w:tc>
        <w:tc>
          <w:tcPr>
            <w:tcW w:type="dxa" w:w="2880"/>
          </w:tcPr>
          <w:p>
            <w:r>
              <w:t>0132</w:t>
            </w:r>
          </w:p>
        </w:tc>
      </w:tr>
      <w:tr>
        <w:tc>
          <w:tcPr>
            <w:tcW w:type="dxa" w:w="2880"/>
          </w:tcPr>
          <w:p>
            <w:r>
              <w:t>Van reconciliation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erp_compute / settle / reject_van_reconciliation</w:t>
            </w:r>
          </w:p>
        </w:tc>
        <w:tc>
          <w:tcPr>
            <w:tcW w:type="dxa" w:w="2880"/>
          </w:tcPr>
          <w:p>
            <w:r>
              <w:t>0138</w:t>
            </w:r>
          </w:p>
        </w:tc>
      </w:tr>
      <w:tr>
        <w:tc>
          <w:tcPr>
            <w:tcW w:type="dxa" w:w="2880"/>
          </w:tcPr>
          <w:p>
            <w:r>
              <w:t>Day reopen (governed)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erp_request / decide_day_reopen</w:t>
            </w:r>
          </w:p>
        </w:tc>
        <w:tc>
          <w:tcPr>
            <w:tcW w:type="dxa" w:w="2880"/>
          </w:tcPr>
          <w:p>
            <w:r>
              <w:t>0308</w:t>
            </w:r>
          </w:p>
        </w:tc>
      </w:tr>
      <w:tr>
        <w:tc>
          <w:tcPr>
            <w:tcW w:type="dxa" w:w="2880"/>
          </w:tcPr>
          <w:p>
            <w:r>
              <w:t>Cash handover (governed)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erp_request / decide_cash_handover</w:t>
            </w:r>
          </w:p>
        </w:tc>
        <w:tc>
          <w:tcPr>
            <w:tcW w:type="dxa" w:w="2880"/>
          </w:tcPr>
          <w:p>
            <w:r>
              <w:t>0309</w:t>
            </w:r>
          </w:p>
        </w:tc>
      </w:tr>
      <w:tr>
        <w:tc>
          <w:tcPr>
            <w:tcW w:type="dxa" w:w="2880"/>
          </w:tcPr>
          <w:p>
            <w:r>
              <w:t>Load confirm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erp_van_confirm_load</w:t>
            </w:r>
          </w:p>
        </w:tc>
        <w:tc>
          <w:tcPr>
            <w:tcW w:type="dxa" w:w="2880"/>
          </w:tcPr>
          <w:p>
            <w:r>
              <w:t>0247</w:t>
            </w:r>
          </w:p>
        </w:tc>
      </w:tr>
    </w:tbl>
    <w:p/>
    <w:p>
      <w:pPr>
        <w:pStyle w:val="Heading3"/>
      </w:pPr>
      <w:r>
        <w:t>1.2 Feature flags (all platform-pack, default OFF, reversible)</w:t>
      </w:r>
    </w:p>
    <w:p>
      <w:r>
        <w:rPr>
          <w:rFonts w:ascii="Consolas" w:hAnsi="Consolas"/>
          <w:sz w:val="19"/>
        </w:rPr>
        <w:t>collect_in_sell</w:t>
      </w:r>
      <w:r>
        <w:t xml:space="preserve">, </w:t>
      </w:r>
      <w:r>
        <w:rPr>
          <w:rFonts w:ascii="Consolas" w:hAnsi="Consolas"/>
          <w:sz w:val="19"/>
        </w:rPr>
        <w:t>visit_driven_route</w:t>
      </w:r>
      <w:r>
        <w:t xml:space="preserve">, </w:t>
      </w:r>
      <w:r>
        <w:rPr>
          <w:rFonts w:ascii="Consolas" w:hAnsi="Consolas"/>
          <w:sz w:val="19"/>
        </w:rPr>
        <w:t>smart_next_customer</w:t>
      </w:r>
      <w:r>
        <w:t xml:space="preserve">, </w:t>
      </w:r>
      <w:r>
        <w:rPr>
          <w:rFonts w:ascii="Consolas" w:hAnsi="Consolas"/>
          <w:sz w:val="19"/>
        </w:rPr>
        <w:t>day_reopen</w:t>
      </w:r>
      <w:r>
        <w:t xml:space="preserve">, </w:t>
      </w:r>
      <w:r>
        <w:rPr>
          <w:rFonts w:ascii="Consolas" w:hAnsi="Consolas"/>
          <w:sz w:val="19"/>
        </w:rPr>
        <w:t>unified_salesman_workspace</w:t>
      </w:r>
      <w:r>
        <w:t xml:space="preserve">, </w:t>
      </w:r>
      <w:r>
        <w:rPr>
          <w:rFonts w:ascii="Consolas" w:hAnsi="Consolas"/>
          <w:sz w:val="19"/>
        </w:rPr>
        <w:t>salesman_requests</w:t>
      </w:r>
      <w:r>
        <w:t xml:space="preserve">, </w:t>
      </w:r>
      <w:r>
        <w:rPr>
          <w:rFonts w:ascii="Consolas" w:hAnsi="Consolas"/>
          <w:sz w:val="19"/>
        </w:rPr>
        <w:t>credit_override</w:t>
      </w:r>
      <w:r>
        <w:t xml:space="preserve">, </w:t>
      </w:r>
      <w:r>
        <w:rPr>
          <w:rFonts w:ascii="Consolas" w:hAnsi="Consolas"/>
          <w:sz w:val="19"/>
        </w:rPr>
        <w:t>action_authz_enforcement</w:t>
      </w:r>
      <w:r>
        <w:t xml:space="preserve">, </w:t>
      </w:r>
      <w:r>
        <w:rPr>
          <w:rFonts w:ascii="Consolas" w:hAnsi="Consolas"/>
          <w:sz w:val="19"/>
        </w:rPr>
        <w:t>rpc_authz_enforcement</w:t>
      </w:r>
      <w:r>
        <w:t>.</w:t>
      </w:r>
    </w:p>
    <w:p>
      <w:pPr>
        <w:pStyle w:val="Heading3"/>
      </w:pPr>
      <w:r>
        <w:t>1.3 Pure logic + tests</w:t>
      </w:r>
    </w:p>
    <w:p>
      <w:r>
        <w:rPr>
          <w:rFonts w:ascii="Consolas" w:hAnsi="Consolas"/>
          <w:sz w:val="19"/>
        </w:rPr>
        <w:t>src/lib/van-sales/</w:t>
      </w:r>
      <w:r>
        <w:t xml:space="preserve"> carries </w:t>
      </w:r>
      <w:r>
        <w:rPr>
          <w:b/>
        </w:rPr>
        <w:t>113 van-sales unit tests</w:t>
      </w:r>
      <w:r>
        <w:t xml:space="preserve"> across 11 files (sell 32, next-customer 14, visit-outcome 14, visit-recommendation 10, load 10, pilot-readiness 12, returns 5, reports 4, plus day/session/offline). Helpers </w:t>
      </w:r>
      <w:r>
        <w:rPr>
          <w:rFonts w:ascii="Consolas" w:hAnsi="Consolas"/>
          <w:sz w:val="19"/>
        </w:rPr>
        <w:t>map-links.ts</w:t>
      </w:r>
      <w:r>
        <w:t xml:space="preserve">, </w:t>
      </w:r>
      <w:r>
        <w:rPr>
          <w:rFonts w:ascii="Consolas" w:hAnsi="Consolas"/>
          <w:sz w:val="19"/>
        </w:rPr>
        <w:t>active-visit.ts</w:t>
      </w:r>
      <w:r>
        <w:t xml:space="preserve">, </w:t>
      </w:r>
      <w:r>
        <w:rPr>
          <w:rFonts w:ascii="Consolas" w:hAnsi="Consolas"/>
          <w:sz w:val="19"/>
        </w:rPr>
        <w:t>visit-metrics.ts</w:t>
      </w:r>
      <w:r>
        <w:t xml:space="preserve"> are untested (low-risk).</w:t>
      </w:r>
    </w:p>
    <w:p>
      <w:pPr>
        <w:pStyle w:val="Heading3"/>
      </w:pPr>
      <w:r>
        <w:t>1.4 Data model (key tables)</w:t>
      </w:r>
    </w:p>
    <w:p>
      <w:r>
        <w:rPr>
          <w:rFonts w:ascii="Consolas" w:hAnsi="Consolas"/>
          <w:sz w:val="19"/>
        </w:rPr>
        <w:t>erp_invoices</w:t>
      </w:r>
      <w:r>
        <w:t xml:space="preserve">, </w:t>
      </w:r>
      <w:r>
        <w:rPr>
          <w:rFonts w:ascii="Consolas" w:hAnsi="Consolas"/>
          <w:sz w:val="19"/>
        </w:rPr>
        <w:t>erp_collections (+allocations)</w:t>
      </w:r>
      <w:r>
        <w:t xml:space="preserve">, </w:t>
      </w:r>
      <w:r>
        <w:rPr>
          <w:rFonts w:ascii="Consolas" w:hAnsi="Consolas"/>
          <w:sz w:val="19"/>
        </w:rPr>
        <w:t>erp_van_load_manifests</w:t>
      </w:r>
      <w:r>
        <w:t xml:space="preserve">, </w:t>
      </w:r>
      <w:r>
        <w:rPr>
          <w:rFonts w:ascii="Consolas" w:hAnsi="Consolas"/>
          <w:sz w:val="19"/>
        </w:rPr>
        <w:t>erp_van_reconciliations</w:t>
      </w:r>
      <w:r>
        <w:t xml:space="preserve">, </w:t>
      </w:r>
      <w:r>
        <w:rPr>
          <w:rFonts w:ascii="Consolas" w:hAnsi="Consolas"/>
          <w:sz w:val="19"/>
        </w:rPr>
        <w:t>erp_visits</w:t>
      </w:r>
      <w:r>
        <w:t xml:space="preserve">, </w:t>
      </w:r>
      <w:r>
        <w:rPr>
          <w:rFonts w:ascii="Consolas" w:hAnsi="Consolas"/>
          <w:sz w:val="19"/>
        </w:rPr>
        <w:t>erp_visit_outcomes</w:t>
      </w:r>
      <w:r>
        <w:t xml:space="preserve"> (new), </w:t>
      </w:r>
      <w:r>
        <w:rPr>
          <w:rFonts w:ascii="Consolas" w:hAnsi="Consolas"/>
          <w:sz w:val="19"/>
        </w:rPr>
        <w:t>erp_routes</w:t>
      </w:r>
      <w:r>
        <w:t xml:space="preserve">, </w:t>
      </w:r>
      <w:r>
        <w:rPr>
          <w:rFonts w:ascii="Consolas" w:hAnsi="Consolas"/>
          <w:sz w:val="19"/>
        </w:rPr>
        <w:t>erp_journey_plans</w:t>
      </w:r>
      <w:r>
        <w:t xml:space="preserve">, </w:t>
      </w:r>
      <w:r>
        <w:rPr>
          <w:rFonts w:ascii="Consolas" w:hAnsi="Consolas"/>
          <w:sz w:val="19"/>
        </w:rPr>
        <w:t>erp_customer_credit_profiles (+block_rules)</w:t>
      </w:r>
      <w:r>
        <w:t xml:space="preserve">, </w:t>
      </w:r>
      <w:r>
        <w:rPr>
          <w:rFonts w:ascii="Consolas" w:hAnsi="Consolas"/>
          <w:sz w:val="19"/>
        </w:rPr>
        <w:t>erp_credit_notes</w:t>
      </w:r>
      <w:r>
        <w:t xml:space="preserve">, </w:t>
      </w:r>
      <w:r>
        <w:rPr>
          <w:rFonts w:ascii="Consolas" w:hAnsi="Consolas"/>
          <w:sz w:val="19"/>
        </w:rPr>
        <w:t>erp_cash_handover_requests</w:t>
      </w:r>
      <w:r>
        <w:t xml:space="preserve">, </w:t>
      </w:r>
      <w:r>
        <w:rPr>
          <w:rFonts w:ascii="Consolas" w:hAnsi="Consolas"/>
          <w:sz w:val="19"/>
        </w:rPr>
        <w:t>erp_work_sessions</w:t>
      </w:r>
      <w:r>
        <w:t>.</w:t>
      </w:r>
    </w:p>
    <w:p>
      <w:r>
        <w:rPr>
          <w:b/>
        </w:rPr>
        <w:t>Signal:</w:t>
      </w:r>
      <w:r>
        <w:t xml:space="preserve"> functionally complete and well-tested; caveats are *gating* (dark by default), not *engine* gaps.</w:t>
      </w:r>
    </w:p>
    <w:p>
      <w:pPr>
        <w:pStyle w:val="Heading2"/>
      </w:pPr>
      <w:r>
        <w:rPr>
          <w:color w:val="1F497D"/>
        </w:rPr>
        <w:t>2. UI Coverage Audit</w:t>
      </w:r>
    </w:p>
    <w:p>
      <w:r>
        <w:t>Every pilot capability maps to a screen.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Capability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Screen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Facing</w:t>
            </w:r>
          </w:p>
        </w:tc>
      </w:tr>
      <w:tr>
        <w:tc>
          <w:tcPr>
            <w:tcW w:type="dxa" w:w="2880"/>
          </w:tcPr>
          <w:p>
            <w:r>
              <w:t>Start Day / session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/today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/field/van-sales</w:t>
            </w:r>
          </w:p>
        </w:tc>
        <w:tc>
          <w:tcPr>
            <w:tcW w:type="dxa" w:w="2880"/>
          </w:tcPr>
          <w:p>
            <w:r>
              <w:t>mobile</w:t>
            </w:r>
          </w:p>
        </w:tc>
      </w:tr>
      <w:tr>
        <w:tc>
          <w:tcPr>
            <w:tcW w:type="dxa" w:w="2880"/>
          </w:tcPr>
          <w:p>
            <w:r>
              <w:t>My Day hub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/today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salesman-workspace</w:t>
            </w:r>
            <w:r>
              <w:t>)</w:t>
            </w:r>
          </w:p>
        </w:tc>
        <w:tc>
          <w:tcPr>
            <w:tcW w:type="dxa" w:w="2880"/>
          </w:tcPr>
          <w:p>
            <w:r>
              <w:t>mobile</w:t>
            </w:r>
          </w:p>
        </w:tc>
      </w:tr>
      <w:tr>
        <w:tc>
          <w:tcPr>
            <w:tcW w:type="dxa" w:w="2880"/>
          </w:tcPr>
          <w:p>
            <w:r>
              <w:t>Route / Journey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/field/route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/field/journey</w:t>
            </w:r>
          </w:p>
        </w:tc>
        <w:tc>
          <w:tcPr>
            <w:tcW w:type="dxa" w:w="2880"/>
          </w:tcPr>
          <w:p>
            <w:r>
              <w:t>mobile</w:t>
            </w:r>
          </w:p>
        </w:tc>
      </w:tr>
      <w:tr>
        <w:tc>
          <w:tcPr>
            <w:tcW w:type="dxa" w:w="2880"/>
          </w:tcPr>
          <w:p>
            <w:r>
              <w:t>Visit Cockpit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/field/van-sales/statement/[id]</w:t>
            </w:r>
            <w:r>
              <w:t xml:space="preserve"> (field variant)</w:t>
            </w:r>
          </w:p>
        </w:tc>
        <w:tc>
          <w:tcPr>
            <w:tcW w:type="dxa" w:w="2880"/>
          </w:tcPr>
          <w:p>
            <w:r>
              <w:t>mobile</w:t>
            </w:r>
          </w:p>
        </w:tc>
      </w:tr>
      <w:tr>
        <w:tc>
          <w:tcPr>
            <w:tcW w:type="dxa" w:w="2880"/>
          </w:tcPr>
          <w:p>
            <w:r>
              <w:t>New Sale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/field/van-sales/sell</w:t>
            </w:r>
          </w:p>
        </w:tc>
        <w:tc>
          <w:tcPr>
            <w:tcW w:type="dxa" w:w="2880"/>
          </w:tcPr>
          <w:p>
            <w:r>
              <w:t>mobile</w:t>
            </w:r>
          </w:p>
        </w:tc>
      </w:tr>
      <w:tr>
        <w:tc>
          <w:tcPr>
            <w:tcW w:type="dxa" w:w="2880"/>
          </w:tcPr>
          <w:p>
            <w:r>
              <w:t>Collection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/field/van-sales/collect</w:t>
            </w:r>
            <w:r>
              <w:t xml:space="preserve"> (+ collect-in-sell)</w:t>
            </w:r>
          </w:p>
        </w:tc>
        <w:tc>
          <w:tcPr>
            <w:tcW w:type="dxa" w:w="2880"/>
          </w:tcPr>
          <w:p>
            <w:r>
              <w:t>mobile</w:t>
            </w:r>
          </w:p>
        </w:tc>
      </w:tr>
      <w:tr>
        <w:tc>
          <w:tcPr>
            <w:tcW w:type="dxa" w:w="2880"/>
          </w:tcPr>
          <w:p>
            <w:r>
              <w:t>Return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/field/van-sales/return</w:t>
            </w:r>
          </w:p>
        </w:tc>
        <w:tc>
          <w:tcPr>
            <w:tcW w:type="dxa" w:w="2880"/>
          </w:tcPr>
          <w:p>
            <w:r>
              <w:t>mobile</w:t>
            </w:r>
          </w:p>
        </w:tc>
      </w:tr>
      <w:tr>
        <w:tc>
          <w:tcPr>
            <w:tcW w:type="dxa" w:w="2880"/>
          </w:tcPr>
          <w:p>
            <w:r>
              <w:t>Visit Outcome / No Sale</w:t>
            </w:r>
          </w:p>
        </w:tc>
        <w:tc>
          <w:tcPr>
            <w:tcW w:type="dxa" w:w="2880"/>
          </w:tcPr>
          <w:p>
            <w:r>
              <w:t xml:space="preserve">cockpit sheet → </w:t>
            </w:r>
            <w:r>
              <w:rPr>
                <w:rFonts w:ascii="Consolas" w:hAnsi="Consolas"/>
                <w:sz w:val="19"/>
              </w:rPr>
              <w:t>erp_visit_outcomes</w:t>
            </w:r>
          </w:p>
        </w:tc>
        <w:tc>
          <w:tcPr>
            <w:tcW w:type="dxa" w:w="2880"/>
          </w:tcPr>
          <w:p>
            <w:r>
              <w:t>mobile</w:t>
            </w:r>
          </w:p>
        </w:tc>
      </w:tr>
      <w:tr>
        <w:tc>
          <w:tcPr>
            <w:tcW w:type="dxa" w:w="2880"/>
          </w:tcPr>
          <w:p>
            <w:r>
              <w:t>Smart Next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/field/next</w:t>
            </w:r>
          </w:p>
        </w:tc>
        <w:tc>
          <w:tcPr>
            <w:tcW w:type="dxa" w:w="2880"/>
          </w:tcPr>
          <w:p>
            <w:r>
              <w:t>mobile</w:t>
            </w:r>
          </w:p>
        </w:tc>
      </w:tr>
      <w:tr>
        <w:tc>
          <w:tcPr>
            <w:tcW w:type="dxa" w:w="2880"/>
          </w:tcPr>
          <w:p>
            <w:r>
              <w:t>Load / Stock Request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/field/van-sales/request(s)</w:t>
            </w:r>
          </w:p>
        </w:tc>
        <w:tc>
          <w:tcPr>
            <w:tcW w:type="dxa" w:w="2880"/>
          </w:tcPr>
          <w:p>
            <w:r>
              <w:t>mobile</w:t>
            </w:r>
          </w:p>
        </w:tc>
      </w:tr>
      <w:tr>
        <w:tc>
          <w:tcPr>
            <w:tcW w:type="dxa" w:w="2880"/>
          </w:tcPr>
          <w:p>
            <w:r>
              <w:t>Cash Handover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/field/van-sales/cash-handovers</w:t>
            </w:r>
          </w:p>
        </w:tc>
        <w:tc>
          <w:tcPr>
            <w:tcW w:type="dxa" w:w="2880"/>
          </w:tcPr>
          <w:p>
            <w:r>
              <w:t>mobile</w:t>
            </w:r>
          </w:p>
        </w:tc>
      </w:tr>
      <w:tr>
        <w:tc>
          <w:tcPr>
            <w:tcW w:type="dxa" w:w="2880"/>
          </w:tcPr>
          <w:p>
            <w:r>
              <w:t>Day Close / Reconcile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/field/van-reconciliation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/field/van-sales/confirm</w:t>
            </w:r>
          </w:p>
        </w:tc>
        <w:tc>
          <w:tcPr>
            <w:tcW w:type="dxa" w:w="2880"/>
          </w:tcPr>
          <w:p>
            <w:r>
              <w:t>mobile / supervisor</w:t>
            </w:r>
          </w:p>
        </w:tc>
      </w:tr>
      <w:tr>
        <w:tc>
          <w:tcPr>
            <w:tcW w:type="dxa" w:w="2880"/>
          </w:tcPr>
          <w:p>
            <w:r>
              <w:t>Approvals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/approvals/queue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/field/van-sales/{reopen-approvals, customer-requests}</w:t>
            </w:r>
          </w:p>
        </w:tc>
        <w:tc>
          <w:tcPr>
            <w:tcW w:type="dxa" w:w="2880"/>
          </w:tcPr>
          <w:p>
            <w:r>
              <w:t>supervisor</w:t>
            </w:r>
          </w:p>
        </w:tc>
      </w:tr>
      <w:tr>
        <w:tc>
          <w:tcPr>
            <w:tcW w:type="dxa" w:w="2880"/>
          </w:tcPr>
          <w:p>
            <w:r>
              <w:t>Visit Outcomes report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/distribution/visit-outcomes</w:t>
            </w:r>
            <w:r>
              <w:t xml:space="preserve"> (added this engagement)</w:t>
            </w:r>
          </w:p>
        </w:tc>
        <w:tc>
          <w:tcPr>
            <w:tcW w:type="dxa" w:w="2880"/>
          </w:tcPr>
          <w:p>
            <w:r>
              <w:t>supervisor</w:t>
            </w:r>
          </w:p>
        </w:tc>
      </w:tr>
      <w:tr>
        <w:tc>
          <w:tcPr>
            <w:tcW w:type="dxa" w:w="2880"/>
          </w:tcPr>
          <w:p>
            <w:r>
              <w:t>Rep performance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/distribution/report</w:t>
            </w:r>
          </w:p>
        </w:tc>
        <w:tc>
          <w:tcPr>
            <w:tcW w:type="dxa" w:w="2880"/>
          </w:tcPr>
          <w:p>
            <w:r>
              <w:t>manager</w:t>
            </w:r>
          </w:p>
        </w:tc>
      </w:tr>
      <w:tr>
        <w:tc>
          <w:tcPr>
            <w:tcW w:type="dxa" w:w="2880"/>
          </w:tcPr>
          <w:p>
            <w:r>
              <w:t>Pilot Readiness Diagnostic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/field/van-sales/readiness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</w:tr>
    </w:tbl>
    <w:p/>
    <w:p>
      <w:r>
        <w:rPr>
          <w:b/>
        </w:rPr>
        <w:t>Navigation:</w:t>
      </w:r>
      <w:r>
        <w:t xml:space="preserve"> salesman screens are reached via the </w:t>
      </w:r>
      <w:r>
        <w:rPr>
          <w:rFonts w:ascii="Consolas" w:hAnsi="Consolas"/>
          <w:sz w:val="19"/>
        </w:rPr>
        <w:t>/today</w:t>
      </w:r>
      <w:r>
        <w:t xml:space="preserve"> hub + </w:t>
      </w:r>
      <w:r>
        <w:rPr>
          <w:rFonts w:ascii="Consolas" w:hAnsi="Consolas"/>
          <w:sz w:val="19"/>
        </w:rPr>
        <w:t>/field/van-sales</w:t>
      </w:r>
      <w:r>
        <w:t xml:space="preserve"> index (mobile-by-design, not the global sidebar); supervisor / manager reports are registered in </w:t>
      </w:r>
      <w:r>
        <w:rPr>
          <w:rFonts w:ascii="Consolas" w:hAnsi="Consolas"/>
          <w:sz w:val="19"/>
        </w:rPr>
        <w:t>navigation.ts</w:t>
      </w:r>
      <w:r>
        <w:t xml:space="preserve"> with </w:t>
      </w:r>
      <w:r>
        <w:rPr>
          <w:rFonts w:ascii="Consolas" w:hAnsi="Consolas"/>
          <w:sz w:val="19"/>
        </w:rPr>
        <w:t>reports.view</w:t>
      </w:r>
      <w:r>
        <w:t xml:space="preserve"> / </w:t>
      </w:r>
      <w:r>
        <w:rPr>
          <w:rFonts w:ascii="Consolas" w:hAnsi="Consolas"/>
          <w:sz w:val="19"/>
        </w:rPr>
        <w:t>reconciliation.*</w:t>
      </w:r>
      <w:r>
        <w:t xml:space="preserve"> gates.</w:t>
      </w:r>
    </w:p>
    <w:p>
      <w:r>
        <w:rPr>
          <w:b/>
        </w:rPr>
        <w:t>Minor orphans / dupes (non-blocking):</w:t>
      </w:r>
      <w:r>
        <w:t xml:space="preserve"> </w:t>
      </w:r>
      <w:r>
        <w:rPr>
          <w:rFonts w:ascii="Consolas" w:hAnsi="Consolas"/>
          <w:sz w:val="19"/>
        </w:rPr>
        <w:t>/field/van-sales/reports</w:t>
      </w:r>
      <w:r>
        <w:t xml:space="preserve"> vs </w:t>
      </w:r>
      <w:r>
        <w:rPr>
          <w:rFonts w:ascii="Consolas" w:hAnsi="Consolas"/>
          <w:sz w:val="19"/>
        </w:rPr>
        <w:t>requests</w:t>
      </w:r>
      <w:r>
        <w:t xml:space="preserve"> vs </w:t>
      </w:r>
      <w:r>
        <w:rPr>
          <w:rFonts w:ascii="Consolas" w:hAnsi="Consolas"/>
          <w:sz w:val="19"/>
        </w:rPr>
        <w:t>request</w:t>
      </w:r>
      <w:r>
        <w:t xml:space="preserve">; </w:t>
      </w:r>
      <w:r>
        <w:rPr>
          <w:rFonts w:ascii="Consolas" w:hAnsi="Consolas"/>
          <w:sz w:val="19"/>
        </w:rPr>
        <w:t>/distribution/perfect-store</w:t>
      </w:r>
      <w:r>
        <w:t xml:space="preserve"> vs </w:t>
      </w:r>
      <w:r>
        <w:rPr>
          <w:rFonts w:ascii="Consolas" w:hAnsi="Consolas"/>
          <w:sz w:val="19"/>
        </w:rPr>
        <w:t>perfect-store-scores</w:t>
      </w:r>
      <w:r>
        <w:t>.</w:t>
      </w:r>
    </w:p>
    <w:p>
      <w:r>
        <w:rPr>
          <w:b/>
        </w:rPr>
        <w:t>i18n:</w:t>
      </w:r>
      <w:r>
        <w:t xml:space="preserve"> field screens use </w:t>
      </w:r>
      <w:r>
        <w:rPr>
          <w:rFonts w:ascii="Consolas" w:hAnsi="Consolas"/>
          <w:sz w:val="19"/>
        </w:rPr>
        <w:t>t()</w:t>
      </w:r>
      <w:r>
        <w:t xml:space="preserve"> (ar/en) consistently; parity tests pass.</w:t>
      </w:r>
    </w:p>
    <w:p>
      <w:r>
        <w:rPr>
          <w:b/>
        </w:rPr>
        <w:t>States:</w:t>
      </w:r>
      <w:r>
        <w:t xml:space="preserve"> cockpit / sell / collect / return / today all have empty + loading affordances (</w:t>
      </w:r>
      <w:r>
        <w:rPr>
          <w:rFonts w:ascii="Consolas" w:hAnsi="Consolas"/>
          <w:sz w:val="19"/>
        </w:rPr>
        <w:t>PendingLink</w:t>
      </w:r>
      <w:r>
        <w:t xml:space="preserve">, </w:t>
      </w:r>
      <w:r>
        <w:rPr>
          <w:rFonts w:ascii="Consolas" w:hAnsi="Consolas"/>
          <w:sz w:val="19"/>
        </w:rPr>
        <w:t>loading</w:t>
      </w:r>
      <w:r>
        <w:t xml:space="preserve"> buttons).</w:t>
      </w:r>
    </w:p>
    <w:p>
      <w:r>
        <w:rPr>
          <w:b/>
        </w:rPr>
        <w:t>Signal:</w:t>
      </w:r>
      <w:r>
        <w:t xml:space="preserve"> UI coverage complete; the only prior gap (visit-outcome surfacing) is now closed.</w:t>
      </w:r>
    </w:p>
    <w:p>
      <w:pPr>
        <w:pStyle w:val="Heading2"/>
      </w:pPr>
      <w:r>
        <w:rPr>
          <w:color w:val="1F497D"/>
        </w:rPr>
        <w:t>3. Role Coverage Audit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Pilot capabilities</w:t>
            </w:r>
          </w:p>
        </w:tc>
      </w:tr>
      <w:tr>
        <w:tc>
          <w:tcPr>
            <w:tcW w:type="dxa" w:w="4320"/>
          </w:tcPr>
          <w:p>
            <w:r>
              <w:t>salesman (rep)</w:t>
            </w:r>
          </w:p>
        </w:tc>
        <w:tc>
          <w:tcPr>
            <w:tcW w:type="dxa" w:w="4320"/>
          </w:tcPr>
          <w:p>
            <w:r>
              <w:t>sell, collect, field.sales, day.close, day.reopen.request, cash.handover.request, customer.request, stock_request.create, stock.transfer, reconciliation.view</w:t>
            </w:r>
          </w:p>
        </w:tc>
      </w:tr>
      <w:tr>
        <w:tc>
          <w:tcPr>
            <w:tcW w:type="dxa" w:w="4320"/>
          </w:tcPr>
          <w:p>
            <w:r>
              <w:t>supervisor</w:t>
            </w:r>
          </w:p>
        </w:tc>
        <w:tc>
          <w:tcPr>
            <w:tcW w:type="dxa" w:w="4320"/>
          </w:tcPr>
          <w:p>
            <w:r>
              <w:t>+ discount, return, change_status, reports.view, approve out-of-route, day-close exception, reconciliation.manage, day.reopen.approve, cash.handover.confirm, customer.request.approve, stock_request.approve</w:t>
            </w:r>
          </w:p>
        </w:tc>
      </w:tr>
      <w:tr>
        <w:tc>
          <w:tcPr>
            <w:tcW w:type="dxa" w:w="4320"/>
          </w:tcPr>
          <w:p>
            <w:r>
              <w:t>warehouse_keeper</w:t>
            </w:r>
          </w:p>
        </w:tc>
        <w:tc>
          <w:tcPr>
            <w:tcW w:type="dxa" w:w="4320"/>
          </w:tcPr>
          <w:p>
            <w:r>
              <w:t>inventory / stock adjust + transfer, stock_request.approve, reconciliation.manage</w:t>
            </w:r>
          </w:p>
        </w:tc>
      </w:tr>
      <w:tr>
        <w:tc>
          <w:tcPr>
            <w:tcW w:type="dxa" w:w="4320"/>
          </w:tcPr>
          <w:p>
            <w:r>
              <w:t>accountant</w:t>
            </w:r>
          </w:p>
        </w:tc>
        <w:tc>
          <w:tcPr>
            <w:tcW w:type="dxa" w:w="4320"/>
          </w:tcPr>
          <w:p>
            <w:r>
              <w:t>accounting.post, collect, cash.handover.confirm, change_status, reports.view</w:t>
            </w:r>
          </w:p>
        </w:tc>
      </w:tr>
      <w:tr>
        <w:tc>
          <w:tcPr>
            <w:tcW w:type="dxa" w:w="4320"/>
          </w:tcPr>
          <w:p>
            <w:r>
              <w:t>branch / area / regional / director</w:t>
            </w:r>
          </w:p>
        </w:tc>
        <w:tc>
          <w:tcPr>
            <w:tcW w:type="dxa" w:w="4320"/>
          </w:tcPr>
          <w:p>
            <w:r>
              <w:t>escalating commercial + approval sets</w:t>
            </w:r>
          </w:p>
        </w:tc>
      </w:tr>
      <w:tr>
        <w:tc>
          <w:tcPr>
            <w:tcW w:type="dxa" w:w="4320"/>
          </w:tcPr>
          <w:p>
            <w:r>
              <w:t>admin / manager</w:t>
            </w:r>
          </w:p>
        </w:tc>
        <w:tc>
          <w:tcPr>
            <w:tcW w:type="dxa" w:w="4320"/>
          </w:tcPr>
          <w:p>
            <w:r>
              <w:t>ALL · super admin / platform owner = apex (everything)</w:t>
            </w:r>
          </w:p>
        </w:tc>
      </w:tr>
    </w:tbl>
    <w:p/>
    <w:p>
      <w:r>
        <w:t xml:space="preserve">Separation of duties is correct: rep </w:t>
      </w:r>
      <w:r>
        <w:rPr>
          <w:b/>
        </w:rPr>
        <w:t>requests / creates</w:t>
      </w:r>
      <w:r>
        <w:t xml:space="preserve">, supervisor / warehouse </w:t>
      </w:r>
      <w:r>
        <w:rPr>
          <w:b/>
        </w:rPr>
        <w:t>approve</w:t>
      </w:r>
      <w:r>
        <w:t>, accountant handles cash / collect. No role lacks a permission it operationally needs.</w:t>
      </w:r>
    </w:p>
    <w:p>
      <w:pPr>
        <w:pStyle w:val="Heading2"/>
      </w:pPr>
      <w:r>
        <w:rPr>
          <w:color w:val="1F497D"/>
        </w:rPr>
        <w:t>4. Permission Audit</w:t>
      </w:r>
    </w:p>
    <w:p>
      <w:pPr>
        <w:pStyle w:val="ListBullet"/>
      </w:pPr>
      <w:r>
        <w:rPr>
          <w:b/>
        </w:rPr>
        <w:t>Catalog:</w:t>
      </w:r>
      <w:r>
        <w:t xml:space="preserve"> every pilot action has a dedicated permission (</w:t>
      </w:r>
      <w:r>
        <w:rPr>
          <w:rFonts w:ascii="Consolas" w:hAnsi="Consolas"/>
          <w:sz w:val="19"/>
        </w:rPr>
        <w:t>field.sales</w:t>
      </w:r>
      <w:r>
        <w:t xml:space="preserve">, </w:t>
      </w:r>
      <w:r>
        <w:rPr>
          <w:rFonts w:ascii="Consolas" w:hAnsi="Consolas"/>
          <w:sz w:val="19"/>
        </w:rPr>
        <w:t>sales.*</w:t>
      </w:r>
      <w:r>
        <w:t xml:space="preserve">, </w:t>
      </w:r>
      <w:r>
        <w:rPr>
          <w:rFonts w:ascii="Consolas" w:hAnsi="Consolas"/>
          <w:sz w:val="19"/>
        </w:rPr>
        <w:t>reconciliation.*</w:t>
      </w:r>
      <w:r>
        <w:t xml:space="preserve">, </w:t>
      </w:r>
      <w:r>
        <w:rPr>
          <w:rFonts w:ascii="Consolas" w:hAnsi="Consolas"/>
          <w:sz w:val="19"/>
        </w:rPr>
        <w:t>visit.approve_out_of_route</w:t>
      </w:r>
      <w:r>
        <w:t xml:space="preserve">, </w:t>
      </w:r>
      <w:r>
        <w:rPr>
          <w:rFonts w:ascii="Consolas" w:hAnsi="Consolas"/>
          <w:sz w:val="19"/>
        </w:rPr>
        <w:t>day.*</w:t>
      </w:r>
      <w:r>
        <w:t xml:space="preserve">, </w:t>
      </w:r>
      <w:r>
        <w:rPr>
          <w:rFonts w:ascii="Consolas" w:hAnsi="Consolas"/>
          <w:sz w:val="19"/>
        </w:rPr>
        <w:t>cash.handover.*</w:t>
      </w:r>
      <w:r>
        <w:t xml:space="preserve">, </w:t>
      </w:r>
      <w:r>
        <w:rPr>
          <w:rFonts w:ascii="Consolas" w:hAnsi="Consolas"/>
          <w:sz w:val="19"/>
        </w:rPr>
        <w:t>customer.request*</w:t>
      </w:r>
      <w:r>
        <w:t xml:space="preserve">, </w:t>
      </w:r>
      <w:r>
        <w:rPr>
          <w:rFonts w:ascii="Consolas" w:hAnsi="Consolas"/>
          <w:sz w:val="19"/>
        </w:rPr>
        <w:t>stock_request.*</w:t>
      </w:r>
      <w:r>
        <w:t>).</w:t>
      </w:r>
    </w:p>
    <w:p>
      <w:pPr>
        <w:pStyle w:val="ListBullet"/>
      </w:pPr>
      <w:r>
        <w:rPr>
          <w:b/>
        </w:rPr>
        <w:t>Always-on enforcement:</w:t>
      </w:r>
      <w:r>
        <w:t xml:space="preserve"> governance / workflow actions in </w:t>
      </w:r>
      <w:r>
        <w:rPr>
          <w:rFonts w:ascii="Consolas" w:hAnsi="Consolas"/>
          <w:sz w:val="19"/>
        </w:rPr>
        <w:t>field/actions.ts</w:t>
      </w:r>
      <w:r>
        <w:t xml:space="preserve"> (close day, approve day-close, visit compliance, transfers) check </w:t>
      </w:r>
      <w:r>
        <w:rPr>
          <w:rFonts w:ascii="Consolas" w:hAnsi="Consolas"/>
          <w:sz w:val="19"/>
        </w:rPr>
        <w:t>hasPermission</w:t>
      </w:r>
      <w:r>
        <w:t xml:space="preserve"> </w:t>
      </w:r>
      <w:r>
        <w:rPr>
          <w:b/>
        </w:rPr>
        <w:t>unconditionally</w:t>
      </w:r>
      <w:r>
        <w:t>.</w:t>
      </w:r>
    </w:p>
    <w:p>
      <w:pPr>
        <w:pStyle w:val="ListBullet"/>
      </w:pPr>
      <w:r>
        <w:rPr>
          <w:b/>
        </w:rPr>
        <w:t>Admin Credit Override</w:t>
      </w:r>
      <w:r>
        <w:t xml:space="preserve"> is correctly </w:t>
      </w:r>
      <w:r>
        <w:rPr>
          <w:b/>
        </w:rPr>
        <w:t>double-gated</w:t>
      </w:r>
      <w:r>
        <w:t xml:space="preserve">: </w:t>
      </w:r>
      <w:r>
        <w:rPr>
          <w:rFonts w:ascii="Consolas" w:hAnsi="Consolas"/>
          <w:sz w:val="19"/>
        </w:rPr>
        <w:t>creditOverrideEnabled(flags) &amp;&amp; (hasPermission(ctx,'customers.change_status') || isSuperAdmin)</w:t>
      </w:r>
      <w:r>
        <w:t xml:space="preserve"> (</w:t>
      </w:r>
      <w:r>
        <w:rPr>
          <w:rFonts w:ascii="Consolas" w:hAnsi="Consolas"/>
          <w:sz w:val="19"/>
        </w:rPr>
        <w:t>statement/[id]/page.tsx</w:t>
      </w:r>
      <w:r>
        <w:t>).</w:t>
      </w:r>
    </w:p>
    <w:p>
      <w:pPr>
        <w:pStyle w:val="ListBullet"/>
      </w:pPr>
      <w:r>
        <w:rPr>
          <w:b/>
        </w:rPr>
        <w:t>Core money path (pre-G1 finding):</w:t>
      </w:r>
      <w:r>
        <w:t xml:space="preserve"> </w:t>
      </w:r>
      <w:r>
        <w:rPr>
          <w:rFonts w:ascii="Consolas" w:hAnsi="Consolas"/>
          <w:sz w:val="19"/>
        </w:rPr>
        <w:t>sell-server.ts</w:t>
      </w:r>
      <w:r>
        <w:t xml:space="preserve"> / </w:t>
      </w:r>
      <w:r>
        <w:rPr>
          <w:rFonts w:ascii="Consolas" w:hAnsi="Consolas"/>
          <w:sz w:val="19"/>
        </w:rPr>
        <w:t>collect-server.ts</w:t>
      </w:r>
      <w:r>
        <w:t xml:space="preserve"> / </w:t>
      </w:r>
      <w:r>
        <w:rPr>
          <w:rFonts w:ascii="Consolas" w:hAnsi="Consolas"/>
          <w:sz w:val="19"/>
        </w:rPr>
        <w:t>returns-server.ts</w:t>
      </w:r>
      <w:r>
        <w:t xml:space="preserve"> enforced only </w:t>
      </w:r>
      <w:r>
        <w:rPr>
          <w:rFonts w:ascii="Consolas" w:hAnsi="Consolas"/>
          <w:sz w:val="19"/>
        </w:rPr>
        <w:t>requireAuth</w:t>
      </w:r>
      <w:r>
        <w:t xml:space="preserve"> + enablement; server-side permission depended on the </w:t>
      </w:r>
      <w:r>
        <w:rPr>
          <w:b/>
        </w:rPr>
        <w:t>default-OFF</w:t>
      </w:r>
      <w:r>
        <w:t xml:space="preserve"> </w:t>
      </w:r>
      <w:r>
        <w:rPr>
          <w:rFonts w:ascii="Consolas" w:hAnsi="Consolas"/>
          <w:sz w:val="19"/>
        </w:rPr>
        <w:t>erp_guard_rpc</w:t>
      </w:r>
      <w:r>
        <w:t xml:space="preserve"> (</w:t>
      </w:r>
      <w:r>
        <w:rPr>
          <w:rFonts w:ascii="Consolas" w:hAnsi="Consolas"/>
          <w:sz w:val="19"/>
        </w:rPr>
        <w:t>platform.rpc_authz_enforcement</w:t>
      </w:r>
      <w:r>
        <w:t xml:space="preserve">). </w:t>
      </w:r>
      <w:r>
        <w:rPr>
          <w:b/>
        </w:rPr>
        <w:t>Closed by G1 — see §7.</w:t>
      </w:r>
    </w:p>
    <w:p>
      <w:pPr>
        <w:pStyle w:val="Heading2"/>
      </w:pPr>
      <w:r>
        <w:rPr>
          <w:color w:val="1F497D"/>
        </w:rPr>
        <w:t>5. Mobile Audit</w:t>
      </w:r>
    </w:p>
    <w:p>
      <w:pPr>
        <w:pStyle w:val="ListBullet"/>
      </w:pPr>
      <w:r>
        <w:rPr>
          <w:b/>
        </w:rPr>
        <w:t>Responsiveness — STRONG:</w:t>
      </w:r>
      <w:r>
        <w:t xml:space="preserve"> mobile-first throughout — sticky action bars (</w:t>
      </w:r>
      <w:r>
        <w:rPr>
          <w:rFonts w:ascii="Consolas" w:hAnsi="Consolas"/>
          <w:sz w:val="19"/>
        </w:rPr>
        <w:t>fixed inset-x-0 bottom-nav-safe</w:t>
      </w:r>
      <w:r>
        <w:t xml:space="preserve">), bottom-sheets with </w:t>
      </w:r>
      <w:r>
        <w:rPr>
          <w:rFonts w:ascii="Consolas" w:hAnsi="Consolas"/>
          <w:sz w:val="19"/>
        </w:rPr>
        <w:t>env(safe-area-inset-bottom)</w:t>
      </w:r>
      <w:r>
        <w:t xml:space="preserve">, </w:t>
      </w:r>
      <w:r>
        <w:rPr>
          <w:rFonts w:ascii="Consolas" w:hAnsi="Consolas"/>
          <w:sz w:val="19"/>
        </w:rPr>
        <w:t>grid-cols-2/3</w:t>
      </w:r>
      <w:r>
        <w:t xml:space="preserve"> tiles, mobile-cards-vs-</w:t>
      </w:r>
      <w:r>
        <w:rPr>
          <w:rFonts w:ascii="Consolas" w:hAnsi="Consolas"/>
          <w:sz w:val="19"/>
        </w:rPr>
        <w:t>sm:</w:t>
      </w:r>
      <w:r>
        <w:t xml:space="preserve">-tables, </w:t>
      </w:r>
      <w:r>
        <w:rPr>
          <w:rFonts w:ascii="Consolas" w:hAnsi="Consolas"/>
          <w:sz w:val="19"/>
        </w:rPr>
        <w:t>viewportFit:'cover'</w:t>
      </w:r>
      <w:r>
        <w:t>.</w:t>
      </w:r>
    </w:p>
    <w:p>
      <w:pPr>
        <w:pStyle w:val="ListBullet"/>
      </w:pPr>
      <w:r>
        <w:rPr>
          <w:b/>
        </w:rPr>
        <w:t>Touch — STRONG:</w:t>
      </w:r>
      <w:r>
        <w:t xml:space="preserve"> shared </w:t>
      </w:r>
      <w:r>
        <w:rPr>
          <w:rFonts w:ascii="Consolas" w:hAnsi="Consolas"/>
          <w:sz w:val="19"/>
        </w:rPr>
        <w:t>Button</w:t>
      </w:r>
      <w:r>
        <w:t xml:space="preserve"> (</w:t>
      </w:r>
      <w:r>
        <w:rPr>
          <w:rFonts w:ascii="Consolas" w:hAnsi="Consolas"/>
          <w:sz w:val="19"/>
        </w:rPr>
        <w:t>active:scale-[0.97]</w:t>
      </w:r>
      <w:r>
        <w:t xml:space="preserve">, </w:t>
      </w:r>
      <w:r>
        <w:rPr>
          <w:rFonts w:ascii="Consolas" w:hAnsi="Consolas"/>
          <w:sz w:val="19"/>
        </w:rPr>
        <w:t>touch-manipulation</w:t>
      </w:r>
      <w:r>
        <w:t xml:space="preserve">, </w:t>
      </w:r>
      <w:r>
        <w:rPr>
          <w:rFonts w:ascii="Consolas" w:hAnsi="Consolas"/>
          <w:sz w:val="19"/>
        </w:rPr>
        <w:t>loading</w:t>
      </w:r>
      <w:r>
        <w:t xml:space="preserve">) + </w:t>
      </w:r>
      <w:r>
        <w:rPr>
          <w:rFonts w:ascii="Consolas" w:hAnsi="Consolas"/>
          <w:sz w:val="19"/>
        </w:rPr>
        <w:t>PendingLink</w:t>
      </w:r>
      <w:r>
        <w:t xml:space="preserve"> (spinner + double-tap guard) used across field screens.</w:t>
      </w:r>
    </w:p>
    <w:p>
      <w:pPr>
        <w:pStyle w:val="ListBullet"/>
      </w:pPr>
      <w:r>
        <w:rPr>
          <w:b/>
        </w:rPr>
        <w:t>RTL / Arabic — STRONG:</w:t>
      </w:r>
      <w:r>
        <w:t xml:space="preserve"> 18 field files use </w:t>
      </w:r>
      <w:r>
        <w:rPr>
          <w:rFonts w:ascii="Consolas" w:hAnsi="Consolas"/>
          <w:sz w:val="19"/>
        </w:rPr>
        <w:t>rtl:</w:t>
      </w:r>
      <w:r>
        <w:t xml:space="preserve"> / </w:t>
      </w:r>
      <w:r>
        <w:rPr>
          <w:rFonts w:ascii="Consolas" w:hAnsi="Consolas"/>
          <w:sz w:val="19"/>
        </w:rPr>
        <w:t>dir</w:t>
      </w:r>
      <w:r>
        <w:t xml:space="preserve">, icons flip, numerics forced LTR, </w:t>
      </w:r>
      <w:r>
        <w:rPr>
          <w:rFonts w:ascii="Consolas" w:hAnsi="Consolas"/>
          <w:sz w:val="19"/>
        </w:rPr>
        <w:t>name_ar</w:t>
      </w:r>
      <w:r>
        <w:t xml:space="preserve"> locale-resolved.</w:t>
      </w:r>
    </w:p>
    <w:p>
      <w:pPr>
        <w:pStyle w:val="ListBullet"/>
      </w:pPr>
      <w:r>
        <w:rPr>
          <w:b/>
        </w:rPr>
        <w:t>Visit ergonomics — STRONG:</w:t>
      </w:r>
      <w:r>
        <w:t xml:space="preserve"> cockpit → action → Resume Visit (</w:t>
      </w:r>
      <w:r>
        <w:rPr>
          <w:rFonts w:ascii="Consolas" w:hAnsi="Consolas"/>
          <w:sz w:val="19"/>
        </w:rPr>
        <w:t>active-visit</w:t>
      </w:r>
      <w:r>
        <w:t xml:space="preserve"> localStorage) → Next Customer → route progress.</w:t>
      </w:r>
    </w:p>
    <w:p>
      <w:pPr>
        <w:pStyle w:val="ListBullet"/>
      </w:pPr>
      <w:r>
        <w:rPr>
          <w:b/>
        </w:rPr>
        <w:t>Offline — PARTIAL:</w:t>
      </w:r>
      <w:r>
        <w:t xml:space="preserve"> real service worker (</w:t>
      </w:r>
      <w:r>
        <w:rPr>
          <w:rFonts w:ascii="Consolas" w:hAnsi="Consolas"/>
          <w:sz w:val="19"/>
        </w:rPr>
        <w:t>public/sw.js</w:t>
      </w:r>
      <w:r>
        <w:t xml:space="preserve">) + </w:t>
      </w:r>
      <w:r>
        <w:rPr>
          <w:rFonts w:ascii="Consolas" w:hAnsi="Consolas"/>
          <w:sz w:val="19"/>
        </w:rPr>
        <w:t>manifest.webmanifest</w:t>
      </w:r>
      <w:r>
        <w:t xml:space="preserve"> + </w:t>
      </w:r>
      <w:r>
        <w:rPr>
          <w:rFonts w:ascii="Consolas" w:hAnsi="Consolas"/>
          <w:sz w:val="19"/>
        </w:rPr>
        <w:t>/field/offline</w:t>
      </w:r>
      <w:r>
        <w:t xml:space="preserve">, and an offline-sync engine exist, but are gated by </w:t>
      </w:r>
      <w:r>
        <w:rPr>
          <w:rFonts w:ascii="Consolas" w:hAnsi="Consolas"/>
          <w:sz w:val="19"/>
        </w:rPr>
        <w:t>KAKO_MOBILE</w:t>
      </w:r>
      <w:r>
        <w:t xml:space="preserve"> (default OFF), and </w:t>
      </w:r>
      <w:r>
        <w:rPr>
          <w:b/>
        </w:rPr>
        <w:t>sell / collect / return do not enqueue offline</w:t>
      </w:r>
      <w:r>
        <w:t xml:space="preserve"> (sell blocks with a toast; collect / return assume connectivity). Borderline-small tap targets on budget phones.</w:t>
      </w:r>
    </w:p>
    <w:p>
      <w:r>
        <w:rPr>
          <w:b/>
        </w:rPr>
        <w:t>Signal:</w:t>
      </w:r>
      <w:r>
        <w:t xml:space="preserve"> AMBER — excellent responsive / touch / RTL UX and resume flow, but connectivity-dependent core transactions make it pilot-viable </w:t>
      </w:r>
      <w:r>
        <w:rPr>
          <w:b/>
        </w:rPr>
        <w:t>online-first</w:t>
      </w:r>
      <w:r>
        <w:t>.</w:t>
      </w:r>
    </w:p>
    <w:p>
      <w:pPr>
        <w:pStyle w:val="Heading2"/>
      </w:pPr>
      <w:r>
        <w:rPr>
          <w:color w:val="1F497D"/>
        </w:rPr>
        <w:t>6. Gap Report (prioritized)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Gap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Recommendation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G1</w:t>
            </w:r>
          </w:p>
        </w:tc>
        <w:tc>
          <w:tcPr>
            <w:tcW w:type="dxa" w:w="1728"/>
          </w:tcPr>
          <w:p>
            <w:r>
              <w:t>Blocker-for-enforcement</w:t>
            </w:r>
          </w:p>
        </w:tc>
        <w:tc>
          <w:tcPr>
            <w:tcW w:type="dxa" w:w="1728"/>
          </w:tcPr>
          <w:p>
            <w:r>
              <w:t>Core transaction actions (sell / collect / return) had no always-on permission gate; relied on RLS + default-OFF RPC guard</w:t>
            </w:r>
          </w:p>
        </w:tc>
        <w:tc>
          <w:tcPr>
            <w:tcW w:type="dxa" w:w="1728"/>
          </w:tcPr>
          <w:p>
            <w:r>
              <w:t>Add unconditional action-layer permission gate mirroring the RPC guards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CLOSED (§7)</w:t>
            </w:r>
          </w:p>
        </w:tc>
      </w:tr>
      <w:tr>
        <w:tc>
          <w:tcPr>
            <w:tcW w:type="dxa" w:w="1728"/>
          </w:tcPr>
          <w:p>
            <w:r>
              <w:t>G2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No offline sell / collect / return</w:t>
            </w:r>
          </w:p>
        </w:tc>
        <w:tc>
          <w:tcPr>
            <w:tcW w:type="dxa" w:w="1728"/>
          </w:tcPr>
          <w:p>
            <w:r>
              <w:t>Pilot is online-first (decision taken); offline sync deferred</w:t>
            </w:r>
          </w:p>
        </w:tc>
        <w:tc>
          <w:tcPr>
            <w:tcW w:type="dxa" w:w="1728"/>
          </w:tcPr>
          <w:p>
            <w:r>
              <w:t>Accepted — online-first</w:t>
            </w:r>
          </w:p>
        </w:tc>
      </w:tr>
      <w:tr>
        <w:tc>
          <w:tcPr>
            <w:tcW w:type="dxa" w:w="1728"/>
          </w:tcPr>
          <w:p>
            <w:r>
              <w:t>G3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decideCustomerRequest</w:t>
            </w:r>
            <w:r>
              <w:t xml:space="preserve"> + reconciliation compute/settle enforce permission only in RPC / page, not JS action layer</w:t>
            </w:r>
          </w:p>
        </w:tc>
        <w:tc>
          <w:tcPr>
            <w:tcW w:type="dxa" w:w="1728"/>
          </w:tcPr>
          <w:p>
            <w:r>
              <w:t xml:space="preserve">Verify RPC self-checks; add JS </w:t>
            </w:r>
            <w:r>
              <w:rPr>
                <w:rFonts w:ascii="Consolas" w:hAnsi="Consolas"/>
                <w:sz w:val="19"/>
              </w:rPr>
              <w:t>hasPermission</w:t>
            </w:r>
            <w:r>
              <w:t xml:space="preserve"> for consistency</w:t>
            </w:r>
          </w:p>
        </w:tc>
        <w:tc>
          <w:tcPr>
            <w:tcW w:type="dxa" w:w="1728"/>
          </w:tcPr>
          <w:p>
            <w:r>
              <w:t>Backlog</w:t>
            </w:r>
          </w:p>
        </w:tc>
      </w:tr>
      <w:tr>
        <w:tc>
          <w:tcPr>
            <w:tcW w:type="dxa" w:w="1728"/>
          </w:tcPr>
          <w:p>
            <w:r>
              <w:t>G4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addVanExpense</w:t>
            </w:r>
            <w:r>
              <w:t xml:space="preserve"> gated on </w:t>
            </w:r>
            <w:r>
              <w:rPr>
                <w:rFonts w:ascii="Consolas" w:hAnsi="Consolas"/>
                <w:sz w:val="19"/>
              </w:rPr>
              <w:t>reports.view</w:t>
            </w:r>
            <w:r>
              <w:t xml:space="preserve"> (read perm gating a write)</w:t>
            </w:r>
          </w:p>
        </w:tc>
        <w:tc>
          <w:tcPr>
            <w:tcW w:type="dxa" w:w="1728"/>
          </w:tcPr>
          <w:p>
            <w:r>
              <w:t xml:space="preserve">Re-gate to </w:t>
            </w:r>
            <w:r>
              <w:rPr>
                <w:rFonts w:ascii="Consolas" w:hAnsi="Consolas"/>
                <w:sz w:val="19"/>
              </w:rPr>
              <w:t>reconciliation.manage</w:t>
            </w:r>
            <w:r>
              <w:t xml:space="preserve"> / accounting perm</w:t>
            </w:r>
          </w:p>
        </w:tc>
        <w:tc>
          <w:tcPr>
            <w:tcW w:type="dxa" w:w="1728"/>
          </w:tcPr>
          <w:p>
            <w:r>
              <w:t>Backlog</w:t>
            </w:r>
          </w:p>
        </w:tc>
      </w:tr>
      <w:tr>
        <w:tc>
          <w:tcPr>
            <w:tcW w:type="dxa" w:w="1728"/>
          </w:tcPr>
          <w:p>
            <w:r>
              <w:t>G5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Nav orphans / dupes</w:t>
            </w:r>
          </w:p>
        </w:tc>
        <w:tc>
          <w:tcPr>
            <w:tcW w:type="dxa" w:w="1728"/>
          </w:tcPr>
          <w:p>
            <w:r>
              <w:t>Consolidate / remove dead routes</w:t>
            </w:r>
          </w:p>
        </w:tc>
        <w:tc>
          <w:tcPr>
            <w:tcW w:type="dxa" w:w="1728"/>
          </w:tcPr>
          <w:p>
            <w:r>
              <w:t>Backlog</w:t>
            </w:r>
          </w:p>
        </w:tc>
      </w:tr>
      <w:tr>
        <w:tc>
          <w:tcPr>
            <w:tcW w:type="dxa" w:w="1728"/>
          </w:tcPr>
          <w:p>
            <w:r>
              <w:t>G6</w:t>
            </w:r>
          </w:p>
        </w:tc>
        <w:tc>
          <w:tcPr>
            <w:tcW w:type="dxa" w:w="1728"/>
          </w:tcPr>
          <w:p>
            <w:r>
              <w:t>Info</w:t>
            </w:r>
          </w:p>
        </w:tc>
        <w:tc>
          <w:tcPr>
            <w:tcW w:type="dxa" w:w="1728"/>
          </w:tcPr>
          <w:p>
            <w:r>
              <w:t>All pilot flags default OFF</w:t>
            </w:r>
          </w:p>
        </w:tc>
        <w:tc>
          <w:tcPr>
            <w:tcW w:type="dxa" w:w="1728"/>
          </w:tcPr>
          <w:p>
            <w:r>
              <w:t>Pre-pilot per-tenant flag-enablement checklist</w:t>
            </w:r>
          </w:p>
        </w:tc>
        <w:tc>
          <w:tcPr>
            <w:tcW w:type="dxa" w:w="1728"/>
          </w:tcPr>
          <w:p>
            <w:r>
              <w:t>Activation step</w:t>
            </w:r>
          </w:p>
        </w:tc>
      </w:tr>
      <w:tr>
        <w:tc>
          <w:tcPr>
            <w:tcW w:type="dxa" w:w="1728"/>
          </w:tcPr>
          <w:p>
            <w:r>
              <w:t>G7</w:t>
            </w:r>
          </w:p>
        </w:tc>
        <w:tc>
          <w:tcPr>
            <w:tcW w:type="dxa" w:w="1728"/>
          </w:tcPr>
          <w:p>
            <w:r>
              <w:t>Closed</w:t>
            </w:r>
          </w:p>
        </w:tc>
        <w:tc>
          <w:tcPr>
            <w:tcW w:type="dxa" w:w="1728"/>
          </w:tcPr>
          <w:p>
            <w:r>
              <w:t>Visit outcomes not surfaced in a report</w:t>
            </w:r>
          </w:p>
        </w:tc>
        <w:tc>
          <w:tcPr>
            <w:tcW w:type="dxa" w:w="1728"/>
          </w:tcPr>
          <w:p>
            <w:r>
              <w:t xml:space="preserve">Built </w:t>
            </w:r>
            <w:r>
              <w:rPr>
                <w:rFonts w:ascii="Consolas" w:hAnsi="Consolas"/>
                <w:sz w:val="19"/>
              </w:rPr>
              <w:t>/distribution/visit-outcomes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</w:tr>
    </w:tbl>
    <w:p/>
    <w:p>
      <w:pPr>
        <w:pStyle w:val="Heading3"/>
      </w:pPr>
      <w:r>
        <w:t>Readiness verdict</w:t>
      </w:r>
    </w:p>
    <w:p>
      <w:r>
        <w:rPr>
          <w:b/>
        </w:rPr>
        <w:t>Engine: pilot-ready.</w:t>
      </w:r>
      <w:r>
        <w:t xml:space="preserve"> Transactional core complete, atomic, RLS-scoped, tested, build green; roles / permissions comprehensive with correct separation of duties; UI coverage complete; mobile UX strong.</w:t>
      </w:r>
    </w:p>
    <w:p>
      <w:r>
        <w:rPr>
          <w:b/>
        </w:rPr>
        <w:t>Gate to "go" is activation + one enforcement decision, not engineering:</w:t>
      </w:r>
      <w:r>
        <w:t xml:space="preserve"> enable </w:t>
      </w:r>
      <w:r>
        <w:rPr>
          <w:rFonts w:ascii="Consolas" w:hAnsi="Consolas"/>
          <w:sz w:val="19"/>
        </w:rPr>
        <w:t>rpc_authz_enforcement</w:t>
      </w:r>
      <w:r>
        <w:t xml:space="preserve"> (now backstopped by G1), online-first connectivity (G2 accepted), and confirm the two RPC self-checks (G3).</w:t>
      </w:r>
    </w:p>
    <w:p>
      <w:r>
        <w:rPr>
          <w:b/>
        </w:rPr>
        <w:t>Overall: GO for a controlled, online-first pilot.</w:t>
      </w:r>
    </w:p>
    <w:p>
      <w:pPr>
        <w:pStyle w:val="Heading2"/>
      </w:pPr>
      <w:r>
        <w:rPr>
          <w:color w:val="1F497D"/>
        </w:rPr>
        <w:t>7. G1 Closure — Always-On Money-Path Permission Enforcement</w:t>
      </w:r>
    </w:p>
    <w:p>
      <w:r>
        <w:rPr>
          <w:b/>
        </w:rPr>
        <w:t>Change:</w:t>
      </w:r>
      <w:r>
        <w:t xml:space="preserve"> added </w:t>
      </w:r>
      <w:r>
        <w:rPr>
          <w:rFonts w:ascii="Consolas" w:hAnsi="Consolas"/>
          <w:sz w:val="19"/>
        </w:rPr>
        <w:t>requireActionPermission(perm)</w:t>
      </w:r>
      <w:r>
        <w:t xml:space="preserve"> in </w:t>
      </w:r>
      <w:r>
        <w:rPr>
          <w:rFonts w:ascii="Consolas" w:hAnsi="Consolas"/>
          <w:sz w:val="19"/>
        </w:rPr>
        <w:t>src/lib/erp/guards.ts</w:t>
      </w:r>
      <w:r>
        <w:t xml:space="preserve"> — an </w:t>
      </w:r>
      <w:r>
        <w:rPr>
          <w:b/>
        </w:rPr>
        <w:t>unconditional</w:t>
      </w:r>
      <w:r>
        <w:t xml:space="preserve"> (non-flag-gated) action-layer gate, distinct from the flag-gated </w:t>
      </w:r>
      <w:r>
        <w:rPr>
          <w:rFonts w:ascii="Consolas" w:hAnsi="Consolas"/>
          <w:sz w:val="19"/>
        </w:rPr>
        <w:t>requireActionPerm</w:t>
      </w:r>
      <w:r>
        <w:t xml:space="preserve"> no-op. Applied to the four money-path mutations, mirroring the RPC guards exactly.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Always-on gate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RPC guard (0314)</w:t>
            </w:r>
          </w:p>
        </w:tc>
        <w:tc>
          <w:tcPr>
            <w:tcW w:type="dxa" w:w="1728"/>
            <w:shd w:val="clear" w:fill="1F497D"/>
          </w:tcPr>
          <w:p>
            <w:r>
              <w:rPr>
                <w:b/>
                <w:color w:val="FFFFFF"/>
              </w:rPr>
              <w:t>Match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vanSell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sell-server.ts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field.sales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field.sales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vanSellWithPayment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sell-server.ts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field.sales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field.sales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settleCollectionEntry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collect-server.ts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sales.collect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sales.collect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vanReturn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returns-server.ts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field.sales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field.sales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/>
    <w:p>
      <w:r>
        <w:t xml:space="preserve">Enforcement now holds </w:t>
      </w:r>
      <w:r>
        <w:rPr>
          <w:b/>
        </w:rPr>
        <w:t>with flags OFF</w:t>
      </w:r>
      <w:r>
        <w:t>: page-hidden + always-on action permission + RLS + (optional) RPC guard — defense in depth.</w:t>
      </w:r>
    </w:p>
    <w:p>
      <w:pPr>
        <w:pStyle w:val="Heading3"/>
      </w:pPr>
      <w:r>
        <w:t>Re-audit — Permission</w:t>
      </w:r>
    </w:p>
    <w:p>
      <w:r>
        <w:t xml:space="preserve">Every money-path mutation calls </w:t>
      </w:r>
      <w:r>
        <w:rPr>
          <w:rFonts w:ascii="Consolas" w:hAnsi="Consolas"/>
          <w:sz w:val="19"/>
        </w:rPr>
        <w:t>requireActionPermission</w:t>
      </w:r>
      <w:r>
        <w:t xml:space="preserve"> unconditionally (verified). </w:t>
      </w:r>
      <w:r>
        <w:rPr>
          <w:rFonts w:ascii="Consolas" w:hAnsi="Consolas"/>
          <w:sz w:val="19"/>
        </w:rPr>
        <w:t>hasPermission</w:t>
      </w:r>
      <w:r>
        <w:t xml:space="preserve"> grants apex automatically. Governance always-on gates and the double-gated Admin Credit Override are unchanged.</w:t>
      </w:r>
    </w:p>
    <w:p>
      <w:pPr>
        <w:pStyle w:val="Heading3"/>
      </w:pPr>
      <w:r>
        <w:t>Re-audit — Role (reachability of gated actions)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field.sales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sales.collect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Sell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Collect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Return</w:t>
            </w:r>
          </w:p>
        </w:tc>
      </w:tr>
      <w:tr>
        <w:tc>
          <w:tcPr>
            <w:tcW w:type="dxa" w:w="1440"/>
          </w:tcPr>
          <w:p>
            <w:r>
              <w:t>salesman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driver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admin / manager / apex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supervisor / accountant / warehouse</w:t>
            </w:r>
          </w:p>
        </w:tc>
        <w:tc>
          <w:tcPr>
            <w:tcW w:type="dxa" w:w="1440"/>
          </w:tcPr>
          <w:p>
            <w:r>
              <w:t>no field.sales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already blocked at page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/>
    <w:p>
      <w:r>
        <w:t xml:space="preserve">No role holds </w:t>
      </w:r>
      <w:r>
        <w:rPr>
          <w:rFonts w:ascii="Consolas" w:hAnsi="Consolas"/>
          <w:sz w:val="19"/>
        </w:rPr>
        <w:t>field.sales</w:t>
      </w:r>
      <w:r>
        <w:t xml:space="preserve"> without </w:t>
      </w:r>
      <w:r>
        <w:rPr>
          <w:rFonts w:ascii="Consolas" w:hAnsi="Consolas"/>
          <w:sz w:val="19"/>
        </w:rPr>
        <w:t>sales.collect</w:t>
      </w:r>
      <w:r>
        <w:t>, so the collect gate excludes no field rep.</w:t>
      </w:r>
    </w:p>
    <w:p>
      <w:pPr>
        <w:pStyle w:val="Heading3"/>
      </w:pPr>
      <w:r>
        <w:t>Regression confirmation</w:t>
      </w:r>
    </w:p>
    <w:p>
      <w:pPr>
        <w:pStyle w:val="ListBullet"/>
      </w:pPr>
      <w:r>
        <w:rPr>
          <w:b/>
        </w:rPr>
        <w:t>Callers:</w:t>
      </w:r>
      <w:r>
        <w:t xml:space="preserve"> </w:t>
      </w:r>
      <w:r>
        <w:rPr>
          <w:rFonts w:ascii="Consolas" w:hAnsi="Consolas"/>
          <w:sz w:val="19"/>
        </w:rPr>
        <w:t>sell-screen</w:t>
      </w:r>
      <w:r>
        <w:t xml:space="preserve">, </w:t>
      </w:r>
      <w:r>
        <w:rPr>
          <w:rFonts w:ascii="Consolas" w:hAnsi="Consolas"/>
          <w:sz w:val="19"/>
        </w:rPr>
        <w:t>collect-screen</w:t>
      </w:r>
      <w:r>
        <w:t xml:space="preserve">, </w:t>
      </w:r>
      <w:r>
        <w:rPr>
          <w:rFonts w:ascii="Consolas" w:hAnsi="Consolas"/>
          <w:sz w:val="19"/>
        </w:rPr>
        <w:t>return-screen</w:t>
      </w:r>
      <w:r>
        <w:t xml:space="preserve"> — all behind pages already gating </w:t>
      </w:r>
      <w:r>
        <w:rPr>
          <w:rFonts w:ascii="Consolas" w:hAnsi="Consolas"/>
          <w:sz w:val="19"/>
        </w:rPr>
        <w:t>field.sales</w:t>
      </w:r>
      <w:r>
        <w:t>; every valid caller retains access.</w:t>
      </w:r>
    </w:p>
    <w:p>
      <w:pPr>
        <w:pStyle w:val="ListBullet"/>
      </w:pPr>
      <w:r>
        <w:rPr>
          <w:b/>
        </w:rPr>
        <w:t>Tests:</w:t>
      </w:r>
      <w:r>
        <w:t xml:space="preserve"> 1,448 pass (4 new guards tests: unauth / has-perm / lacks-perm / apex).</w:t>
      </w:r>
    </w:p>
    <w:p>
      <w:pPr>
        <w:pStyle w:val="ListBullet"/>
      </w:pPr>
      <w:r>
        <w:rPr>
          <w:b/>
        </w:rPr>
        <w:t>Typecheck:</w:t>
      </w:r>
      <w:r>
        <w:t xml:space="preserve"> clean (no import cycle — </w:t>
      </w:r>
      <w:r>
        <w:rPr>
          <w:rFonts w:ascii="Consolas" w:hAnsi="Consolas"/>
          <w:sz w:val="19"/>
        </w:rPr>
        <w:t>permissions.ts</w:t>
      </w:r>
      <w:r>
        <w:t xml:space="preserve"> does not import </w:t>
      </w:r>
      <w:r>
        <w:rPr>
          <w:rFonts w:ascii="Consolas" w:hAnsi="Consolas"/>
          <w:sz w:val="19"/>
        </w:rPr>
        <w:t>guards</w:t>
      </w:r>
      <w:r>
        <w:t>).</w:t>
      </w:r>
    </w:p>
    <w:p>
      <w:pPr>
        <w:pStyle w:val="ListBullet"/>
      </w:pPr>
      <w:r>
        <w:rPr>
          <w:b/>
        </w:rPr>
        <w:t>Build:</w:t>
      </w:r>
      <w:r>
        <w:t xml:space="preserve"> compiled successfully.</w:t>
      </w:r>
    </w:p>
    <w:p>
      <w:r>
        <w:rPr>
          <w:b/>
        </w:rPr>
        <w:t>No regression detected. G1 closed.</w:t>
      </w:r>
    </w:p>
    <w:p>
      <w:r>
        <w:t>*Generated from the Kako codebase audit. G2 accepted as online-first; G3–G5 remain in backlog; Role Builder not started; no new features introduced beyond the Visit Outcomes report and the G1 security fix.*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