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P5 — Customer Workbench &amp; Customer 360 Design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P5 — Customer Workbench &amp; Customer 360 — Design Package</w:t>
      </w:r>
    </w:p>
    <w:p>
      <w:pPr>
        <w:pStyle w:val="Heading3"/>
      </w:pPr>
      <w:r>
        <w:t>Canonical customer experience on the proven workbench pattern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Audit + design + plan — *no implementation, no new features.*</w:t>
      </w:r>
    </w:p>
    <w:p>
      <w:r>
        <w:t xml:space="preserve">Brings </w:t>
      </w:r>
      <w:r>
        <w:rPr>
          <w:rFonts w:ascii="Consolas" w:hAnsi="Consolas"/>
          <w:sz w:val="19"/>
        </w:rPr>
        <w:t>/customers</w:t>
      </w:r>
      <w:r>
        <w:t xml:space="preserve"> onto the same canonical 3-panel </w:t>
      </w:r>
      <w:r>
        <w:rPr>
          <w:b/>
        </w:rPr>
        <w:t>AdminWorkbench</w:t>
      </w:r>
      <w:r>
        <w:t xml:space="preserve"> used by Companies and Users, with a tabbed </w:t>
      </w:r>
      <w:r>
        <w:rPr>
          <w:b/>
        </w:rPr>
        <w:t>Customer 360</w:t>
      </w:r>
      <w:r>
        <w:t xml:space="preserve"> detail. Reuse-first: every existing action, loader, and permission is reused unchanged. Constraints: no business-logic, permission, RLS, or workflow change. CRM Evolution remains deferred.</w:t>
      </w:r>
    </w:p>
    <w:p>
      <w:pPr>
        <w:pStyle w:val="Heading2"/>
      </w:pPr>
      <w:r>
        <w:rPr>
          <w:color w:val="1F497D"/>
        </w:rPr>
        <w:t>1. Audit — current state (grounded)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/customers</w:t>
            </w:r>
            <w:r>
              <w:t xml:space="preserve"> (list)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CustomersManager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bespoke</w:t>
            </w:r>
            <w:r>
              <w:t xml:space="preserve"> list + </w:t>
            </w:r>
            <w:r>
              <w:rPr>
                <w:b/>
              </w:rPr>
              <w:t>inline create/edit form</w:t>
            </w:r>
          </w:p>
        </w:tc>
        <w:tc>
          <w:tcPr>
            <w:tcW w:type="dxa" w:w="2160"/>
          </w:tcPr>
          <w:p>
            <w:r>
              <w:t>server pagination + search + 3 filters (segment/classification/channel); 8 actions (upsert, toggle-active, approve/reject, import, GPS/credit/approval requests)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/customers/[id]</w:t>
            </w:r>
            <w:r>
              <w:t xml:space="preserve"> (detail)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CustomerStatementView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bespoke, single view (no tabs)</w:t>
            </w:r>
          </w:p>
        </w:tc>
        <w:tc>
          <w:tcPr>
            <w:tcW w:type="dxa" w:w="2160"/>
          </w:tcPr>
          <w:p>
            <w:r>
              <w:t>statement: summary + aging + open invoices + reconciling ledger + EntityNotes + status; credit-limit request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/customers/[id]/360</w:t>
            </w:r>
          </w:p>
        </w:tc>
        <w:tc>
          <w:tcPr>
            <w:tcW w:type="dxa" w:w="2160"/>
          </w:tcPr>
          <w:p>
            <w:r>
              <w:t>timeline + StatCards + QuickNav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bespoke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customerActivity()</w:t>
            </w:r>
            <w:r>
              <w:t xml:space="preserve"> timeline = invoices + payments + returns (</w:t>
            </w:r>
            <w:r>
              <w:rPr>
                <w:b/>
              </w:rPr>
              <w:t>financial-only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/customers/transfer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CustomerTransferForm</w:t>
            </w:r>
          </w:p>
        </w:tc>
        <w:tc>
          <w:tcPr>
            <w:tcW w:type="dxa" w:w="2160"/>
          </w:tcPr>
          <w:p>
            <w:r>
              <w:t>bespoke page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customer.transfer</w:t>
            </w:r>
            <w:r>
              <w:t xml:space="preserve"> 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customers/layout.tsx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requireModule('sales')</w:t>
            </w:r>
            <w:r>
              <w:t xml:space="preserve"> (not </w:t>
            </w:r>
            <w:r>
              <w:rPr>
                <w:rFonts w:ascii="Consolas" w:hAnsi="Consolas"/>
                <w:sz w:val="19"/>
              </w:rPr>
              <w:t>crm</w:t>
            </w:r>
            <w:r>
              <w:t xml:space="preserve">) — latent (flagged earlier; </w:t>
            </w:r>
            <w:r>
              <w:rPr>
                <w:b/>
              </w:rPr>
              <w:t>not changed by P5</w:t>
            </w:r>
            <w:r>
              <w:t>)</w:t>
            </w:r>
          </w:p>
        </w:tc>
      </w:tr>
    </w:tbl>
    <w:p/>
    <w:p>
      <w:r>
        <w:rPr>
          <w:b/>
        </w:rPr>
        <w:t>Findings:</w:t>
      </w:r>
      <w:r>
        <w:t xml:space="preserve"> the customer experience is </w:t>
      </w:r>
      <w:r>
        <w:rPr>
          <w:b/>
        </w:rPr>
        <w:t>fragmented across 3 routes</w:t>
      </w:r>
      <w:r>
        <w:t xml:space="preserve"> with a bespoke list+form, a separate statement, and a separate financial 360 — inconsistent with the Companies/Users workbench standard. All business logic, actions, and gates already exist and are enforced at the action level.</w:t>
      </w:r>
    </w:p>
    <w:p>
      <w:pPr>
        <w:pStyle w:val="Heading2"/>
      </w:pPr>
      <w:r>
        <w:rPr>
          <w:color w:val="1F497D"/>
        </w:rPr>
        <w:t>2. Architecture review — the pattern to adopt</w:t>
      </w:r>
    </w:p>
    <w:p>
      <w:r>
        <w:t xml:space="preserve">Mirror the </w:t>
      </w:r>
      <w:r>
        <w:rPr>
          <w:b/>
        </w:rPr>
        <w:t>Companies workbench</w:t>
      </w:r>
      <w:r>
        <w:t xml:space="preserve"> (the reference):</w:t>
      </w:r>
    </w:p>
    <w:p>
      <w:pPr>
        <w:pStyle w:val="ListBullet"/>
      </w:pPr>
      <w:r>
        <w:rPr>
          <w:b/>
        </w:rPr>
        <w:t>Page (server):</w:t>
      </w:r>
      <w:r>
        <w:t xml:space="preserve"> load the list → render </w:t>
      </w:r>
      <w:r>
        <w:rPr>
          <w:rFonts w:ascii="Consolas" w:hAnsi="Consolas"/>
          <w:sz w:val="19"/>
        </w:rPr>
        <w:t>CustomersWorkbench</w:t>
      </w:r>
      <w:r>
        <w:t>.</w:t>
      </w:r>
    </w:p>
    <w:p>
      <w:pPr>
        <w:pStyle w:val="ListBullet"/>
      </w:pPr>
      <w:r>
        <w:rPr>
          <w:b/>
        </w:rPr>
        <w:t>Workbench (client):</w:t>
      </w:r>
      <w:r>
        <w:t xml:space="preserve"> </w:t>
      </w:r>
      <w:r>
        <w:rPr>
          <w:rFonts w:ascii="Consolas" w:hAnsi="Consolas"/>
          <w:sz w:val="19"/>
        </w:rPr>
        <w:t>AdminWorkbench</w:t>
      </w:r>
      <w:r>
        <w:t xml:space="preserve"> = </w:t>
      </w:r>
      <w:r>
        <w:rPr>
          <w:rFonts w:ascii="Consolas" w:hAnsi="Consolas"/>
          <w:sz w:val="19"/>
        </w:rPr>
        <w:t>EntityListPanel</w:t>
      </w:r>
      <w:r>
        <w:t xml:space="preserve"> (left) · </w:t>
      </w:r>
      <w:r>
        <w:rPr>
          <w:rFonts w:ascii="Consolas" w:hAnsi="Consolas"/>
          <w:sz w:val="19"/>
        </w:rPr>
        <w:t>Customer360</w:t>
      </w:r>
      <w:r>
        <w:t xml:space="preserve"> (center) · </w:t>
      </w:r>
      <w:r>
        <w:rPr>
          <w:rFonts w:ascii="Consolas" w:hAnsi="Consolas"/>
          <w:sz w:val="19"/>
        </w:rPr>
        <w:t>ContextPanel</w:t>
      </w:r>
      <w:r>
        <w:t xml:space="preserve"> (right). URL-addressable via </w:t>
      </w:r>
      <w:r>
        <w:rPr>
          <w:rFonts w:ascii="Consolas" w:hAnsi="Consolas"/>
          <w:sz w:val="19"/>
        </w:rPr>
        <w:t>useWorkbenchSelection</w:t>
      </w:r>
      <w:r>
        <w:t xml:space="preserve"> (</w:t>
      </w:r>
      <w:r>
        <w:rPr>
          <w:rFonts w:ascii="Consolas" w:hAnsi="Consolas"/>
          <w:sz w:val="19"/>
        </w:rPr>
        <w:t>?id&amp;tab</w:t>
      </w:r>
      <w:r>
        <w:t>). Detail bundle lazy-loaded on selection.</w:t>
      </w:r>
    </w:p>
    <w:p>
      <w:pPr>
        <w:pStyle w:val="ListBullet"/>
      </w:pPr>
      <w:r>
        <w:rPr>
          <w:b/>
        </w:rPr>
        <w:t>Detail bundle (server):</w:t>
      </w:r>
      <w:r>
        <w:t xml:space="preserve"> </w:t>
      </w:r>
      <w:r>
        <w:rPr>
          <w:rFonts w:ascii="Consolas" w:hAnsi="Consolas"/>
          <w:sz w:val="19"/>
        </w:rPr>
        <w:t>loadCustomerDetailBundle(supabase, id, locale)</w:t>
      </w:r>
      <w:r>
        <w:t xml:space="preserve"> — parallel load of customer + statement + activity + audit + summary stats (mirrors </w:t>
      </w:r>
      <w:r>
        <w:rPr>
          <w:rFonts w:ascii="Consolas" w:hAnsi="Consolas"/>
          <w:sz w:val="19"/>
        </w:rPr>
        <w:t>loadCompanyDetailBundle</w:t>
      </w:r>
      <w:r>
        <w:t>).</w:t>
      </w:r>
    </w:p>
    <w:p>
      <w:pPr>
        <w:pStyle w:val="ListBullet"/>
      </w:pPr>
      <w:r>
        <w:rPr>
          <w:b/>
        </w:rPr>
        <w:t>Customer 360 (client):</w:t>
      </w:r>
      <w:r>
        <w:t xml:space="preserve"> </w:t>
      </w:r>
      <w:r>
        <w:rPr>
          <w:rFonts w:ascii="Consolas" w:hAnsi="Consolas"/>
          <w:sz w:val="19"/>
        </w:rPr>
        <w:t>EntityHeader</w:t>
      </w:r>
      <w:r>
        <w:t xml:space="preserve"> (name + status + </w:t>
      </w:r>
      <w:r>
        <w:rPr>
          <w:rFonts w:ascii="Consolas" w:hAnsi="Consolas"/>
          <w:sz w:val="19"/>
        </w:rPr>
        <w:t>EntityActionBar</w:t>
      </w:r>
      <w:r>
        <w:t xml:space="preserve">) + </w:t>
      </w:r>
      <w:r>
        <w:rPr>
          <w:rFonts w:ascii="Consolas" w:hAnsi="Consolas"/>
          <w:sz w:val="19"/>
        </w:rPr>
        <w:t>EntityTabs</w:t>
      </w:r>
      <w:r>
        <w:t xml:space="preserve"> + per-tab sections (</w:t>
      </w:r>
      <w:r>
        <w:rPr>
          <w:rFonts w:ascii="Consolas" w:hAnsi="Consolas"/>
          <w:sz w:val="19"/>
        </w:rPr>
        <w:t>SectionCard</w:t>
      </w:r>
      <w:r>
        <w:t>).</w:t>
      </w:r>
    </w:p>
    <w:p>
      <w:r>
        <w:t xml:space="preserve">Secondary reference (Users workbench): </w:t>
      </w:r>
      <w:r>
        <w:rPr>
          <w:rFonts w:ascii="Consolas" w:hAnsi="Consolas"/>
          <w:sz w:val="19"/>
        </w:rPr>
        <w:t>ContextPanel</w:t>
      </w:r>
      <w:r>
        <w:t xml:space="preserve"> with Summary + </w:t>
      </w:r>
      <w:r>
        <w:rPr>
          <w:rFonts w:ascii="Consolas" w:hAnsi="Consolas"/>
          <w:sz w:val="19"/>
        </w:rPr>
        <w:t>ActivityFeed</w:t>
      </w:r>
      <w:r>
        <w:t xml:space="preserve"> + </w:t>
      </w:r>
      <w:r>
        <w:rPr>
          <w:rFonts w:ascii="Consolas" w:hAnsi="Consolas"/>
          <w:sz w:val="19"/>
        </w:rPr>
        <w:t>RelatedChips</w:t>
      </w:r>
      <w:r>
        <w:t>.</w:t>
      </w:r>
    </w:p>
    <w:p>
      <w:pPr>
        <w:pStyle w:val="Heading3"/>
      </w:pPr>
      <w:r>
        <w:t>Canonical Customer 360 tabs (all from existing data)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Content (reused)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Overview</w:t>
            </w:r>
          </w:p>
        </w:tc>
        <w:tc>
          <w:tcPr>
            <w:tcW w:type="dxa" w:w="4320"/>
          </w:tcPr>
          <w:p>
            <w:r>
              <w:t>identity + key stats (balance · credit limit · overdue · status) + quick 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4320"/>
          </w:tcPr>
          <w:p>
            <w:r>
              <w:t xml:space="preserve">the existing edit form (reuse </w:t>
            </w:r>
            <w:r>
              <w:rPr>
                <w:rFonts w:ascii="Consolas" w:hAnsi="Consolas"/>
                <w:sz w:val="19"/>
              </w:rPr>
              <w:t>CustomersManager</w:t>
            </w:r>
            <w:r>
              <w:t xml:space="preserve"> fields + </w:t>
            </w:r>
            <w:r>
              <w:rPr>
                <w:rFonts w:ascii="Consolas" w:hAnsi="Consolas"/>
                <w:sz w:val="19"/>
              </w:rPr>
              <w:t>upsertCustomer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DynamicCustomFields</w:t>
            </w:r>
            <w:r>
              <w:t xml:space="preserve"> + Attachments)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CustomerStatementView</w:t>
            </w:r>
            <w:r>
              <w:t xml:space="preserve"> verbatim (summary · aging · open invoices · ledger)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customerActivity()</w:t>
            </w:r>
            <w:r>
              <w:t xml:space="preserve"> timeline + StatCards (financial)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4320"/>
          </w:tcPr>
          <w:p>
            <w:r>
              <w:t>branch · salesman · region/area · parent/child chips (</w:t>
            </w:r>
            <w:r>
              <w:rPr>
                <w:rFonts w:ascii="Consolas" w:hAnsi="Consolas"/>
                <w:sz w:val="19"/>
              </w:rPr>
              <w:t>RelatedChips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ActivityFeed entity='customer'</w:t>
            </w:r>
          </w:p>
        </w:tc>
      </w:tr>
    </w:tbl>
    <w:p/>
    <w:p>
      <w:r>
        <w:rPr>
          <w:b/>
        </w:rPr>
        <w:t>Actions</w:t>
      </w:r>
      <w:r>
        <w:t xml:space="preserve"> (via </w:t>
      </w:r>
      <w:r>
        <w:rPr>
          <w:rFonts w:ascii="Consolas" w:hAnsi="Consolas"/>
          <w:sz w:val="19"/>
        </w:rPr>
        <w:t>EntityActionBar</w:t>
      </w:r>
      <w:r>
        <w:t>, permission-aware, reused as-is): Activate/Deactivate · Approve/Reject · Request Credit-Limit · Transfer · GPS-change. No new actions.</w:t>
      </w:r>
    </w:p>
    <w:p>
      <w:pPr>
        <w:pStyle w:val="Heading2"/>
      </w:pPr>
      <w:r>
        <w:rPr>
          <w:color w:val="1F497D"/>
        </w:rPr>
        <w:t>3. Before / After</w:t>
      </w:r>
    </w:p>
    <w:p>
      <w:pPr>
        <w:ind w:left="240"/>
      </w:pPr>
      <w:r>
        <w:rPr>
          <w:rFonts w:ascii="Consolas" w:hAnsi="Consolas"/>
          <w:sz w:val="18"/>
        </w:rPr>
        <w:t>BEFORE (3 fragmented routes, bespoke)        AFTER (one canonical workbench)</w:t>
        <w:br/>
        <w:t>/customers            list + inline form     /customers?id=&amp;tab=overview</w:t>
        <w:br/>
        <w:t>/customers/[id]       statement (no tabs)      ├ EntityListPanel (left)</w:t>
        <w:br/>
        <w:t>/customers/[id]/360   financial timeline       ├ Customer360 (center): Overview · Profile ·</w:t>
        <w:br/>
        <w:t>/customers/transfer   separate page            │   Statement · Activity · Related · Audit</w:t>
        <w:br/>
        <w:t xml:space="preserve">                                               └ ContextPanel (right): Summary · Activity · Related</w:t>
        <w:br/>
        <w:t xml:space="preserve">        old routes → redirect to ?id=&amp;tab=… (deep links preserved)</w:t>
      </w:r>
    </w:p>
    <w:p>
      <w:r>
        <w:t>The list, statement, and 360 are unified into one URL-addressable workbench identical in shape to Companies/Users.</w:t>
      </w:r>
    </w:p>
    <w:p>
      <w:pPr>
        <w:pStyle w:val="Heading2"/>
      </w:pPr>
      <w:r>
        <w:rPr>
          <w:color w:val="1F497D"/>
        </w:rPr>
        <w:t>4.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Reused </w:t>
            </w:r>
            <w:r>
              <w:rPr>
                <w:b/>
                <w:color w:val="FFFFFF"/>
              </w:rPr>
              <w:t>verbatim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New code</w:t>
            </w:r>
          </w:p>
        </w:tc>
      </w:tr>
      <w:tr>
        <w:tc>
          <w:tcPr>
            <w:tcW w:type="dxa" w:w="4320"/>
          </w:tcPr>
          <w:p>
            <w:r>
              <w:t>Primitives: AdminWorkbench · EntityListPanel · EntityHeader · EntityTabs · EntityActionBar · SectionCard · ContextPanel · ActivityFeed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loadCustomerDetailBundle()</w:t>
            </w:r>
            <w:r>
              <w:t xml:space="preserve"> loader (~75 LOC)</w:t>
            </w:r>
          </w:p>
        </w:tc>
      </w:tr>
      <w:tr>
        <w:tc>
          <w:tcPr>
            <w:tcW w:type="dxa" w:w="4320"/>
          </w:tcPr>
          <w:p>
            <w:r>
              <w:t xml:space="preserve">Loaders: </w:t>
            </w:r>
            <w:r>
              <w:rPr>
                <w:rFonts w:ascii="Consolas" w:hAnsi="Consolas"/>
                <w:sz w:val="19"/>
              </w:rPr>
              <w:t>loadCustomerStatement()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customerActivity()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Customer360</w:t>
            </w:r>
            <w:r>
              <w:t xml:space="preserve"> tabs component (~300 LOC, mostly composed from existing pieces / Company360 shape)</w:t>
            </w:r>
          </w:p>
        </w:tc>
      </w:tr>
      <w:tr>
        <w:tc>
          <w:tcPr>
            <w:tcW w:type="dxa" w:w="4320"/>
          </w:tcPr>
          <w:p>
            <w:r>
              <w:t xml:space="preserve">Components: </w:t>
            </w:r>
            <w:r>
              <w:rPr>
                <w:rFonts w:ascii="Consolas" w:hAnsi="Consolas"/>
                <w:sz w:val="19"/>
              </w:rPr>
              <w:t>CustomerStatementView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ActivityTimeline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EntityNotes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DynamicCustomFields</w:t>
            </w:r>
            <w:r>
              <w:t xml:space="preserve"> · Attachments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CustomersWorkbench</w:t>
            </w:r>
            <w:r>
              <w:t xml:space="preserve"> shell (~150 LOC, mirrors CompaniesWorkbench)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All 8 customer actions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upsertCustomer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toggleCustomerActive</w:t>
            </w:r>
            <w:r>
              <w:t>, approve/reject, import, GPS/credit/approval requests, transfer)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/customers/page.tsx</w:t>
            </w:r>
            <w:r>
              <w:t xml:space="preserve"> rewire (~20 LOC) + </w:t>
            </w:r>
            <w:r>
              <w:rPr>
                <w:rFonts w:ascii="Consolas" w:hAnsi="Consolas"/>
                <w:sz w:val="19"/>
              </w:rPr>
              <w:t>[id]</w:t>
            </w:r>
            <w:r>
              <w:t>/</w:t>
            </w:r>
            <w:r>
              <w:rPr>
                <w:rFonts w:ascii="Consolas" w:hAnsi="Consolas"/>
                <w:sz w:val="19"/>
              </w:rPr>
              <w:t>[id]/360</w:t>
            </w:r>
            <w:r>
              <w:t xml:space="preserve"> redirect stubs (~5 LOC each)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All permission gates</w:t>
            </w:r>
            <w:r>
              <w:t xml:space="preserve"> (customers.manage, customer.create/edit/import, customers.change_status, customers.approval.approve, credit.request.*, customer.transfer) — unchanged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rPr>
          <w:b/>
        </w:rPr>
        <w:t>Estimated reuse ≈ 85%</w:t>
      </w:r>
      <w:r>
        <w:t xml:space="preserve"> (primitives + loaders + actions + components reused; new code is composition + one loader + redirects). </w:t>
      </w:r>
      <w:r>
        <w:rPr>
          <w:b/>
        </w:rPr>
        <w:t>Zero</w:t>
      </w:r>
      <w:r>
        <w:t xml:space="preserve"> business-logic / permission / RLS / workflow change; </w:t>
      </w:r>
      <w:r>
        <w:rPr>
          <w:b/>
        </w:rPr>
        <w:t>no new permissions or actions.</w:t>
      </w:r>
    </w:p>
    <w:p>
      <w:pPr>
        <w:pStyle w:val="Heading2"/>
      </w:pPr>
      <w:r>
        <w:rPr>
          <w:color w:val="1F497D"/>
        </w:rPr>
        <w:t>5. Risk — no functional reduction (gap matrix)</w:t>
      </w:r>
    </w:p>
    <w:p>
      <w:r>
        <w:t xml:space="preserve">The earlier Companies migration drew a "functionally reduced" concern; P5 pre-empts it by mapping </w:t>
      </w:r>
      <w:r>
        <w:rPr>
          <w:b/>
        </w:rPr>
        <w:t>every</w:t>
      </w:r>
      <w:r>
        <w:t xml:space="preserve"> current capability to its new home: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Current capability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Preserved in workbench</w:t>
            </w:r>
          </w:p>
        </w:tc>
      </w:tr>
      <w:tr>
        <w:tc>
          <w:tcPr>
            <w:tcW w:type="dxa" w:w="4320"/>
          </w:tcPr>
          <w:p>
            <w:r>
              <w:t>Create / edit (inline form + custom fields + attachments)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Profile</w:t>
            </w:r>
            <w:r>
              <w:t xml:space="preserve"> tab (same form + </w:t>
            </w:r>
            <w:r>
              <w:rPr>
                <w:rFonts w:ascii="Consolas" w:hAnsi="Consolas"/>
                <w:sz w:val="19"/>
              </w:rPr>
              <w:t>upsertCustomer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Server search + 3 filters (segment/classification/channel) + pagination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EntityListPanel</w:t>
            </w:r>
            <w:r>
              <w:t xml:space="preserve"> (server-search hook) — same filters/pagination</w:t>
            </w:r>
          </w:p>
        </w:tc>
      </w:tr>
      <w:tr>
        <w:tc>
          <w:tcPr>
            <w:tcW w:type="dxa" w:w="4320"/>
          </w:tcPr>
          <w:p>
            <w:r>
              <w:t>Activate/deactivate (reason-required)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EntityActionBar</w:t>
            </w:r>
            <w:r>
              <w:t xml:space="preserve"> action (same </w:t>
            </w:r>
            <w:r>
              <w:rPr>
                <w:rFonts w:ascii="Consolas" w:hAnsi="Consolas"/>
                <w:sz w:val="19"/>
              </w:rPr>
              <w:t>toggleCustomerActive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Approve / reject</w:t>
            </w:r>
          </w:p>
        </w:tc>
        <w:tc>
          <w:tcPr>
            <w:tcW w:type="dxa" w:w="4320"/>
          </w:tcPr>
          <w:p>
            <w:r>
              <w:t>EntityActionBar (same actions)</w:t>
            </w:r>
          </w:p>
        </w:tc>
      </w:tr>
      <w:tr>
        <w:tc>
          <w:tcPr>
            <w:tcW w:type="dxa" w:w="4320"/>
          </w:tcPr>
          <w:p>
            <w:r>
              <w:t>Import / Export</w:t>
            </w:r>
          </w:p>
        </w:tc>
        <w:tc>
          <w:tcPr>
            <w:tcW w:type="dxa" w:w="4320"/>
          </w:tcPr>
          <w:p>
            <w:r>
              <w:t xml:space="preserve">Overview/Profile toolbar (same </w:t>
            </w:r>
            <w:r>
              <w:rPr>
                <w:rFonts w:ascii="Consolas" w:hAnsi="Consolas"/>
                <w:sz w:val="19"/>
              </w:rPr>
              <w:t>importCustomers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Statement (aging/invoices/ledger)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Statement</w:t>
            </w:r>
            <w:r>
              <w:t xml:space="preserve"> tab (verbatim)</w:t>
            </w:r>
          </w:p>
        </w:tc>
      </w:tr>
      <w:tr>
        <w:tc>
          <w:tcPr>
            <w:tcW w:type="dxa" w:w="4320"/>
          </w:tcPr>
          <w:p>
            <w:r>
              <w:t>360 timeline + stats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  <w:r>
              <w:t xml:space="preserve"> tab (verbatim)</w:t>
            </w:r>
          </w:p>
        </w:tc>
      </w:tr>
      <w:tr>
        <w:tc>
          <w:tcPr>
            <w:tcW w:type="dxa" w:w="4320"/>
          </w:tcPr>
          <w:p>
            <w:r>
              <w:t>Credit-limit request · GPS request</w:t>
            </w:r>
          </w:p>
        </w:tc>
        <w:tc>
          <w:tcPr>
            <w:tcW w:type="dxa" w:w="4320"/>
          </w:tcPr>
          <w:p>
            <w:r>
              <w:t>EntityActionBar (same gated actions)</w:t>
            </w:r>
          </w:p>
        </w:tc>
      </w:tr>
      <w:tr>
        <w:tc>
          <w:tcPr>
            <w:tcW w:type="dxa" w:w="4320"/>
          </w:tcPr>
          <w:p>
            <w:r>
              <w:t>Transfer</w:t>
            </w:r>
          </w:p>
        </w:tc>
        <w:tc>
          <w:tcPr>
            <w:tcW w:type="dxa" w:w="4320"/>
          </w:tcPr>
          <w:p>
            <w:r>
              <w:t xml:space="preserve">EntityActionBar / quick action (same </w:t>
            </w:r>
            <w:r>
              <w:rPr>
                <w:rFonts w:ascii="Consolas" w:hAnsi="Consolas"/>
                <w:sz w:val="19"/>
              </w:rPr>
              <w:t>transferCustomer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Statement/Overview (</w:t>
            </w:r>
            <w:r>
              <w:rPr>
                <w:rFonts w:ascii="Consolas" w:hAnsi="Consolas"/>
                <w:sz w:val="19"/>
              </w:rPr>
              <w:t>EntityNotes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 xml:space="preserve">Deep links to </w:t>
            </w:r>
            <w:r>
              <w:rPr>
                <w:rFonts w:ascii="Consolas" w:hAnsi="Consolas"/>
                <w:sz w:val="19"/>
              </w:rPr>
              <w:t>/customers/[id]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/[id]/360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redirects</w:t>
            </w:r>
            <w:r>
              <w:t xml:space="preserve"> to </w:t>
            </w:r>
            <w:r>
              <w:rPr>
                <w:rFonts w:ascii="Consolas" w:hAnsi="Consolas"/>
                <w:sz w:val="19"/>
              </w:rPr>
              <w:t>?id=&amp;tab=…</w:t>
            </w:r>
          </w:p>
        </w:tc>
      </w:tr>
    </w:tbl>
    <w:p/>
    <w:p>
      <w:r>
        <w:rPr>
          <w:b/>
        </w:rPr>
        <w:t>Gate note:</w:t>
      </w:r>
      <w:r>
        <w:t xml:space="preserve"> </w:t>
      </w:r>
      <w:r>
        <w:rPr>
          <w:rFonts w:ascii="Consolas" w:hAnsi="Consolas"/>
          <w:sz w:val="19"/>
        </w:rPr>
        <w:t>customers/layout</w:t>
      </w:r>
      <w:r>
        <w:t xml:space="preserve"> stays on </w:t>
      </w:r>
      <w:r>
        <w:rPr>
          <w:rFonts w:ascii="Consolas" w:hAnsi="Consolas"/>
          <w:sz w:val="19"/>
        </w:rPr>
        <w:t>requireModule('sales')</w:t>
      </w:r>
      <w:r>
        <w:t xml:space="preserve"> — unchanged (the sales-vs-crm reconciliation is a separate, deferred item; P5 changes no gate).</w:t>
      </w:r>
    </w:p>
    <w:p>
      <w:pPr>
        <w:pStyle w:val="Heading2"/>
      </w:pPr>
      <w:r>
        <w:rPr>
          <w:color w:val="1F497D"/>
        </w:rPr>
        <w:t>6. Implementation plan (phased; before execution; each validated)</w:t>
      </w:r>
    </w:p>
    <w:p>
      <w:pPr>
        <w:ind w:left="360"/>
      </w:pPr>
      <w:r>
        <w:rPr>
          <w:i/>
        </w:rPr>
      </w:r>
      <w:r>
        <w:rPr>
          <w:i/>
        </w:rPr>
        <w:t>One piece per commit; tsc · full suite · build · gate check after each — same cadence as M3/AC.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P5-1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loadCustomerDetailBundle()</w:t>
            </w:r>
            <w:r>
              <w:t xml:space="preserve"> server loader (additive; no UI change)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P5-2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Customer360</w:t>
            </w:r>
            <w:r>
              <w:t xml:space="preserve"> tabbed component — Overview · Profile · Statement · Activity · Related · Audit, reusing all existing components/actions</w:t>
            </w:r>
          </w:p>
        </w:tc>
        <w:tc>
          <w:tcPr>
            <w:tcW w:type="dxa" w:w="2880"/>
          </w:tcPr>
          <w:p>
            <w:r>
              <w:t>Med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P5-3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CustomersWorkbench</w:t>
            </w:r>
            <w:r>
              <w:t xml:space="preserve"> shell — </w:t>
            </w:r>
            <w:r>
              <w:rPr>
                <w:rFonts w:ascii="Consolas" w:hAnsi="Consolas"/>
                <w:sz w:val="19"/>
              </w:rPr>
              <w:t>EntityListPanel</w:t>
            </w:r>
            <w:r>
              <w:t xml:space="preserve"> (from the existing list section) + </w:t>
            </w:r>
            <w:r>
              <w:rPr>
                <w:rFonts w:ascii="Consolas" w:hAnsi="Consolas"/>
                <w:sz w:val="19"/>
              </w:rPr>
              <w:t>Customer360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ContextPanel</w:t>
            </w:r>
          </w:p>
        </w:tc>
        <w:tc>
          <w:tcPr>
            <w:tcW w:type="dxa" w:w="2880"/>
          </w:tcPr>
          <w:p>
            <w:r>
              <w:t>Med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P5-4</w:t>
            </w:r>
          </w:p>
        </w:tc>
        <w:tc>
          <w:tcPr>
            <w:tcW w:type="dxa" w:w="2880"/>
          </w:tcPr>
          <w:p>
            <w:r>
              <w:t xml:space="preserve">Rewire </w:t>
            </w:r>
            <w:r>
              <w:rPr>
                <w:rFonts w:ascii="Consolas" w:hAnsi="Consolas"/>
                <w:sz w:val="19"/>
              </w:rPr>
              <w:t>/customers/page.tsx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CustomersWorkbench</w:t>
            </w:r>
            <w:r>
              <w:t xml:space="preserve">; add </w:t>
            </w:r>
            <w:r>
              <w:rPr>
                <w:rFonts w:ascii="Consolas" w:hAnsi="Consolas"/>
                <w:sz w:val="19"/>
              </w:rPr>
              <w:t>[id]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[id]/360</w:t>
            </w:r>
            <w:r>
              <w:t xml:space="preserve"> redirect stubs (preserve deep links); gap-matrix verification</w:t>
            </w:r>
          </w:p>
        </w:tc>
        <w:tc>
          <w:tcPr>
            <w:tcW w:type="dxa" w:w="2880"/>
          </w:tcPr>
          <w:p>
            <w:r>
              <w:t>Med</w:t>
            </w:r>
          </w:p>
        </w:tc>
      </w:tr>
    </w:tbl>
    <w:p/>
    <w:p>
      <w:r>
        <w:rPr>
          <w:b/>
        </w:rPr>
        <w:t>Validation gate (per step):</w:t>
      </w:r>
      <w:r>
        <w:t xml:space="preserve"> tsc · 1596+ tests · build; permission/RLS/action unchanged (asserted); old routes redirect; before/after screenshots/capture points; explicit gap-matrix sign-off that nothing is lost.</w:t>
      </w:r>
    </w:p>
    <w:p>
      <w:pPr>
        <w:pStyle w:val="Heading2"/>
      </w:pPr>
      <w:r>
        <w:rPr>
          <w:color w:val="1F497D"/>
        </w:rPr>
        <w:t>7. Decision point (one item for you)</w:t>
      </w:r>
    </w:p>
    <w:p>
      <w:r>
        <w:rPr>
          <w:b/>
        </w:rPr>
        <w:t>Customer 360 — Activity tab scope.</w:t>
      </w:r>
      <w:r>
        <w:t xml:space="preserve"> The canonical 360 reuses the existing </w:t>
      </w:r>
      <w:r>
        <w:rPr>
          <w:b/>
        </w:rPr>
        <w:t>financial</w:t>
      </w:r>
      <w:r>
        <w:t xml:space="preserve"> timeline (invoices/payments/returns). The data for a richer timeline (customer </w:t>
      </w:r>
      <w:r>
        <w:rPr>
          <w:b/>
        </w:rPr>
        <w:t>requests</w:t>
      </w:r>
      <w:r>
        <w:t xml:space="preserve">, </w:t>
      </w:r>
      <w:r>
        <w:rPr>
          <w:b/>
        </w:rPr>
        <w:t>visit outcomes</w:t>
      </w:r>
      <w:r>
        <w:t>) already exists with loaders (</w:t>
      </w:r>
      <w:r>
        <w:rPr>
          <w:rFonts w:ascii="Consolas" w:hAnsi="Consolas"/>
          <w:sz w:val="19"/>
        </w:rPr>
        <w:t>erp_customer_requests</w:t>
      </w:r>
      <w:r>
        <w:t xml:space="preserve">, </w:t>
      </w:r>
      <w:r>
        <w:rPr>
          <w:rFonts w:ascii="Consolas" w:hAnsi="Consolas"/>
          <w:sz w:val="19"/>
        </w:rPr>
        <w:t>erp_visit_outcomes</w:t>
      </w:r>
      <w:r>
        <w:t xml:space="preserve">), but surfacing it on the 360 borders on </w:t>
      </w:r>
      <w:r>
        <w:rPr>
          <w:b/>
        </w:rPr>
        <w:t>CRM Evolution</w:t>
      </w:r>
      <w:r>
        <w:t xml:space="preserve"> (deferred).</w:t>
      </w:r>
    </w:p>
    <w:p>
      <w:pPr>
        <w:pStyle w:val="ListBullet"/>
      </w:pPr>
      <w:r>
        <w:rPr>
          <w:b/>
        </w:rPr>
        <w:t>Recommended (default):</w:t>
      </w:r>
      <w:r>
        <w:t xml:space="preserve"> keep the Activity tab to the existing financial timeline for P5 (pure reuse, no scope creep); park the requests/visits/surveys enrichment under CRM Evolution.</w:t>
      </w:r>
    </w:p>
    <w:p>
      <w:pPr>
        <w:pStyle w:val="ListBullet"/>
      </w:pPr>
      <w:r>
        <w:rPr>
          <w:b/>
        </w:rPr>
        <w:t>Alternative:</w:t>
      </w:r>
      <w:r>
        <w:t xml:space="preserve"> include requests/visits in the timeline now (still reuse-only of existing data, but expands the 360 beyond financial).</w:t>
      </w:r>
    </w:p>
    <w:p>
      <w:r>
        <w:t xml:space="preserve">I'll proceed with the </w:t>
      </w:r>
      <w:r>
        <w:rPr>
          <w:b/>
        </w:rPr>
        <w:t>recommended</w:t>
      </w:r>
      <w:r>
        <w:t xml:space="preserve"> default unless you choose the alternative.</w:t>
      </w:r>
    </w:p>
    <w:p>
      <w:pPr>
        <w:pStyle w:val="Heading2"/>
      </w:pPr>
      <w:r>
        <w:rPr>
          <w:color w:val="1F497D"/>
        </w:rPr>
        <w:t>8. Summary</w:t>
      </w:r>
    </w:p>
    <w:p>
      <w:pPr>
        <w:pStyle w:val="ListBullet"/>
      </w:pPr>
      <w:r>
        <w:rPr>
          <w:b/>
        </w:rPr>
        <w:t>Audit:</w:t>
      </w:r>
      <w:r>
        <w:t xml:space="preserve"> customer surface is fragmented (list+form / statement / financial-360) and off-standard.</w:t>
      </w:r>
    </w:p>
    <w:p>
      <w:pPr>
        <w:pStyle w:val="ListBullet"/>
      </w:pPr>
      <w:r>
        <w:rPr>
          <w:b/>
        </w:rPr>
        <w:t>Design:</w:t>
      </w:r>
      <w:r>
        <w:t xml:space="preserve"> one canonical </w:t>
      </w:r>
      <w:r>
        <w:rPr>
          <w:rFonts w:ascii="Consolas" w:hAnsi="Consolas"/>
          <w:sz w:val="19"/>
        </w:rPr>
        <w:t>AdminWorkbench</w:t>
      </w:r>
      <w:r>
        <w:t xml:space="preserve"> + tabbed </w:t>
      </w:r>
      <w:r>
        <w:rPr>
          <w:rFonts w:ascii="Consolas" w:hAnsi="Consolas"/>
          <w:sz w:val="19"/>
        </w:rPr>
        <w:t>Customer 360</w:t>
      </w:r>
      <w:r>
        <w:t>, identical to Companies/Users.</w:t>
      </w:r>
    </w:p>
    <w:p>
      <w:pPr>
        <w:pStyle w:val="ListBullet"/>
      </w:pPr>
      <w:r>
        <w:rPr>
          <w:b/>
        </w:rPr>
        <w:t>Reuse ≈ 85%</w:t>
      </w:r>
      <w:r>
        <w:t>, no new permissions/actions, gap-matrix guarantees no functional loss.</w:t>
      </w:r>
    </w:p>
    <w:p>
      <w:pPr>
        <w:pStyle w:val="ListBullet"/>
      </w:pPr>
      <w:r>
        <w:rPr>
          <w:b/>
        </w:rPr>
        <w:t>Plan:</w:t>
      </w:r>
      <w:r>
        <w:t xml:space="preserve"> P5-1 → P5-4, one validated commit each, with redirects for deep links.</w:t>
      </w:r>
    </w:p>
    <w:p>
      <w:r>
        <w:rPr>
          <w:b/>
        </w:rPr>
        <w:t>No implementation until this plan is approved.</w:t>
      </w:r>
      <w:r>
        <w:t xml:space="preserve"> On approval I start with </w:t>
      </w:r>
      <w:r>
        <w:rPr>
          <w:b/>
        </w:rPr>
        <w:t>P5-1</w:t>
      </w:r>
      <w:r>
        <w:t xml:space="preserve"> (the detail-bundle loader).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