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Admin Center Alignment — AC-1 Validation &amp; Before/After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Admin Center Alignment — AC-1 Validation &amp; Before/After Review</w:t>
      </w:r>
    </w:p>
    <w:p>
      <w:pPr>
        <w:pStyle w:val="Heading3"/>
      </w:pPr>
      <w:r>
        <w:t>ModulePage shell standardization (dashboard/log pages)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Commit:</w:t>
      </w:r>
      <w:r>
        <w:t xml:space="preserve"> </w:t>
      </w:r>
      <w:r>
        <w:rPr>
          <w:rFonts w:ascii="Consolas" w:hAnsi="Consolas"/>
          <w:sz w:val="19"/>
        </w:rPr>
        <w:t>8b4c020</w:t>
      </w:r>
      <w:r>
        <w:t xml:space="preserve"> · </w:t>
      </w:r>
      <w:r>
        <w:rPr>
          <w:b/>
        </w:rPr>
        <w:t>Date:</w:t>
      </w:r>
      <w:r>
        <w:t xml:space="preserve"> 2026-06-18</w:t>
      </w:r>
    </w:p>
    <w:p>
      <w:r>
        <w:t xml:space="preserve">AC-1 standardizes the page shell on the six platform </w:t>
      </w:r>
      <w:r>
        <w:rPr>
          <w:b/>
        </w:rPr>
        <w:t>dashboard / log</w:t>
      </w:r>
      <w:r>
        <w:t xml:space="preserve"> surfaces by replacing the ad-hoc </w:t>
      </w:r>
      <w:r>
        <w:rPr>
          <w:rFonts w:ascii="Consolas" w:hAnsi="Consolas"/>
          <w:sz w:val="19"/>
        </w:rPr>
        <w:t>&lt;div&gt; + PageHeader</w:t>
      </w:r>
      <w:r>
        <w:t xml:space="preserve"> with the shared </w:t>
      </w:r>
      <w:r>
        <w:rPr>
          <w:b/>
        </w:rPr>
        <w:t>`ModulePage`</w:t>
      </w:r>
      <w:r>
        <w:t xml:space="preserve"> container (per the P3 rule: dashboards/hubs → ModulePage). Presentational only — no business-logic, permission, RLS, workflow, or route change. Content components render verbatim.</w:t>
      </w:r>
    </w:p>
    <w:p>
      <w:pPr>
        <w:pStyle w:val="Heading2"/>
      </w:pPr>
      <w:r>
        <w:rPr>
          <w:color w:val="1F497D"/>
        </w:rPr>
        <w:t>1. Scope (6 pages)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Content (reused verbatim)</w:t>
            </w:r>
          </w:p>
        </w:tc>
      </w:tr>
      <w:tr>
        <w:tc>
          <w:tcPr>
            <w:tcW w:type="dxa" w:w="2880"/>
          </w:tcPr>
          <w:p>
            <w:r>
              <w:t>Overview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/platform</w:t>
            </w:r>
          </w:p>
        </w:tc>
        <w:tc>
          <w:tcPr>
            <w:tcW w:type="dxa" w:w="2880"/>
          </w:tcPr>
          <w:p>
            <w:r>
              <w:t>attention summary, KPIs, company cards (+ "Manage Companies" action)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/platform/analytics</w:t>
            </w:r>
          </w:p>
        </w:tc>
        <w:tc>
          <w:tcPr>
            <w:tcW w:type="dxa" w:w="2880"/>
          </w:tcPr>
          <w:p>
            <w:r>
              <w:t>StatCards, growth charts, ranked bars (+ Range selector action)</w:t>
            </w:r>
          </w:p>
        </w:tc>
      </w:tr>
      <w:tr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/platform/activity</w:t>
            </w:r>
          </w:p>
        </w:tc>
        <w:tc>
          <w:tcPr>
            <w:tcW w:type="dxa" w:w="2880"/>
          </w:tcPr>
          <w:p>
            <w:r>
              <w:t>day-grouped ActivityFeed</w:t>
            </w:r>
          </w:p>
        </w:tc>
      </w:tr>
      <w:tr>
        <w:tc>
          <w:tcPr>
            <w:tcW w:type="dxa" w:w="2880"/>
          </w:tcPr>
          <w:p>
            <w:r>
              <w:t>Copilot Analytics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/platform/copilot-analytics</w:t>
            </w:r>
          </w:p>
        </w:tc>
        <w:tc>
          <w:tcPr>
            <w:tcW w:type="dxa" w:w="2880"/>
          </w:tcPr>
          <w:p>
            <w:r>
              <w:t>StatCards + ranked confusion cards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/platform/audit</w:t>
            </w:r>
          </w:p>
        </w:tc>
        <w:tc>
          <w:tcPr>
            <w:tcW w:type="dxa" w:w="2880"/>
          </w:tcPr>
          <w:p>
            <w:r>
              <w:t>filtered forensic AuditLog table</w:t>
            </w:r>
          </w:p>
        </w:tc>
      </w:tr>
      <w:tr>
        <w:tc>
          <w:tcPr>
            <w:tcW w:type="dxa" w:w="2880"/>
          </w:tcPr>
          <w:p>
            <w:r>
              <w:t>Drugs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/platform/drugs</w:t>
            </w:r>
          </w:p>
        </w:tc>
        <w:tc>
          <w:tcPr>
            <w:tcW w:type="dxa" w:w="2880"/>
          </w:tcPr>
          <w:p>
            <w:r>
              <w:t>DrugImporter (reference data)</w:t>
            </w:r>
          </w:p>
        </w:tc>
      </w:tr>
    </w:tbl>
    <w:p/>
    <w:p>
      <w:pPr>
        <w:pStyle w:val="Heading2"/>
      </w:pPr>
      <w:r>
        <w:rPr>
          <w:color w:val="1F497D"/>
        </w:rPr>
        <w:t>2. Before → After (shell only)</w:t>
      </w:r>
    </w:p>
    <w:p>
      <w:pPr>
        <w:ind w:left="240"/>
      </w:pPr>
      <w:r>
        <w:rPr>
          <w:rFonts w:ascii="Consolas" w:hAnsi="Consolas"/>
          <w:sz w:val="18"/>
        </w:rPr>
        <w:t>BEFORE                                  AFTER</w:t>
        <w:br/>
        <w:t>&lt;div&gt;                                   &lt;ModulePage title subtitle actions&gt;</w:t>
        <w:br/>
        <w:t xml:space="preserve">  &lt;PageHeader title desc action/&gt;          …content verbatim…</w:t>
        <w:br/>
        <w:t xml:space="preserve">  …content…                             &lt;/ModulePage&gt;</w:t>
        <w:br/>
        <w:t>&lt;/div&gt;</w:t>
      </w:r>
    </w:p>
    <w:p>
      <w:pPr>
        <w:pStyle w:val="ListBullet"/>
      </w:pPr>
      <w:r>
        <w:rPr>
          <w:b/>
        </w:rPr>
        <w:t>Overview</w:t>
      </w:r>
      <w:r>
        <w:t xml:space="preserve"> &amp; </w:t>
      </w:r>
      <w:r>
        <w:rPr>
          <w:b/>
        </w:rPr>
        <w:t>Analytics</w:t>
      </w:r>
      <w:r>
        <w:t xml:space="preserve">: the header </w:t>
      </w:r>
      <w:r>
        <w:rPr>
          <w:rFonts w:ascii="Consolas" w:hAnsi="Consolas"/>
          <w:sz w:val="19"/>
        </w:rPr>
        <w:t>action</w:t>
      </w:r>
      <w:r>
        <w:t xml:space="preserve"> (Manage Companies / Range selector) maps to </w:t>
      </w:r>
      <w:r>
        <w:rPr>
          <w:rFonts w:ascii="Consolas" w:hAnsi="Consolas"/>
          <w:sz w:val="19"/>
        </w:rPr>
        <w:t>ModulePage actions</w:t>
      </w:r>
      <w:r>
        <w:t xml:space="preserve"> — preserved.</w:t>
      </w:r>
    </w:p>
    <w:p>
      <w:pPr>
        <w:pStyle w:val="ListBullet"/>
      </w:pPr>
      <w:r>
        <w:rPr>
          <w:b/>
        </w:rPr>
        <w:t>Activity / Audit / Copilot / Drugs</w:t>
      </w:r>
      <w:r>
        <w:t>: title + subtitle move into the shell; content reused verbatim.</w:t>
      </w:r>
    </w:p>
    <w:p>
      <w:pPr>
        <w:pStyle w:val="ListBullet"/>
      </w:pPr>
      <w:r>
        <w:rPr>
          <w:b/>
        </w:rPr>
        <w:t>Not-authorized guards</w:t>
      </w:r>
      <w:r>
        <w:t xml:space="preserve"> also wrapped in </w:t>
      </w:r>
      <w:r>
        <w:rPr>
          <w:rFonts w:ascii="Consolas" w:hAnsi="Consolas"/>
          <w:sz w:val="19"/>
        </w:rPr>
        <w:t>ModulePage</w:t>
      </w:r>
      <w:r>
        <w:t xml:space="preserve"> (consistent shell on the gated state).</w:t>
      </w:r>
    </w:p>
    <w:p>
      <w:pPr>
        <w:pStyle w:val="ListBullet"/>
      </w:pPr>
      <w:r>
        <w:rPr>
          <w:b/>
        </w:rPr>
        <w:t>Visual delta:</w:t>
      </w:r>
      <w:r>
        <w:t xml:space="preserve"> the page title now uses the standard </w:t>
      </w:r>
      <w:r>
        <w:rPr>
          <w:rFonts w:ascii="Consolas" w:hAnsi="Consolas"/>
          <w:sz w:val="19"/>
        </w:rPr>
        <w:t>text-xl font-semibold</w:t>
      </w:r>
      <w:r>
        <w:t xml:space="preserve"> shell instead of the old </w:t>
      </w:r>
      <w:r>
        <w:rPr>
          <w:rFonts w:ascii="Consolas" w:hAnsi="Consolas"/>
          <w:sz w:val="19"/>
        </w:rPr>
        <w:t>text-2xl font-bold</w:t>
      </w:r>
      <w:r>
        <w:t xml:space="preserve"> — the intended consistency change. No functional change.</w:t>
      </w:r>
    </w:p>
    <w:p>
      <w:pPr>
        <w:pStyle w:val="Heading2"/>
      </w:pPr>
      <w:r>
        <w:rPr>
          <w:color w:val="1F497D"/>
        </w:rPr>
        <w:t>3. Validation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tsc --noEmit</w:t>
            </w:r>
          </w:p>
        </w:tc>
        <w:tc>
          <w:tcPr>
            <w:tcW w:type="dxa" w:w="4320"/>
          </w:tcPr>
          <w:p>
            <w:r>
              <w:t>✅ clean</w:t>
            </w:r>
          </w:p>
        </w:tc>
      </w:tr>
      <w:tr>
        <w:tc>
          <w:tcPr>
            <w:tcW w:type="dxa" w:w="4320"/>
          </w:tcPr>
          <w:p>
            <w:r>
              <w:t>Test suite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1596 passed</w:t>
            </w:r>
            <w:r>
              <w:t xml:space="preserve"> / 192 skipped</w:t>
            </w:r>
          </w:p>
        </w:tc>
      </w:tr>
      <w:tr>
        <w:tc>
          <w:tcPr>
            <w:tcW w:type="dxa" w:w="4320"/>
          </w:tcPr>
          <w:p>
            <w:r>
              <w:t>Production build</w:t>
            </w:r>
          </w:p>
        </w:tc>
        <w:tc>
          <w:tcPr>
            <w:tcW w:type="dxa" w:w="4320"/>
          </w:tcPr>
          <w:p>
            <w:r>
              <w:t>✅ all 6 routes compile (</w:t>
            </w:r>
            <w:r>
              <w:rPr>
                <w:rFonts w:ascii="Consolas" w:hAnsi="Consolas"/>
                <w:sz w:val="19"/>
              </w:rPr>
              <w:t>/platform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/analytics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/activity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/copilot-analytics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/audit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/drugs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Routes</w:t>
            </w:r>
          </w:p>
        </w:tc>
        <w:tc>
          <w:tcPr>
            <w:tcW w:type="dxa" w:w="4320"/>
          </w:tcPr>
          <w:p>
            <w:r>
              <w:t>✅ unchanged (no redirects)</w:t>
            </w:r>
          </w:p>
        </w:tc>
      </w:tr>
      <w:tr>
        <w:tc>
          <w:tcPr>
            <w:tcW w:type="dxa" w:w="4320"/>
          </w:tcPr>
          <w:p>
            <w:r>
              <w:t>Gates</w:t>
            </w:r>
          </w:p>
        </w:tc>
        <w:tc>
          <w:tcPr>
            <w:tcW w:type="dxa" w:w="4320"/>
          </w:tcPr>
          <w:p>
            <w:r>
              <w:t xml:space="preserve">✅ unchanged — each page keeps its </w:t>
            </w:r>
            <w:r>
              <w:rPr>
                <w:rFonts w:ascii="Consolas" w:hAnsi="Consolas"/>
                <w:sz w:val="19"/>
              </w:rPr>
              <w:t>isPlatformOwner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platformPerm</w:t>
            </w:r>
            <w:r>
              <w:t xml:space="preserve"> guard (now rendered inside </w:t>
            </w:r>
            <w:r>
              <w:rPr>
                <w:rFonts w:ascii="Consolas" w:hAnsi="Consolas"/>
                <w:sz w:val="19"/>
              </w:rPr>
              <w:t>ModulePage</w:t>
            </w:r>
            <w:r>
              <w:t xml:space="preserve">); the platform-governance invariants in </w:t>
            </w:r>
            <w:r>
              <w:rPr>
                <w:rFonts w:ascii="Consolas" w:hAnsi="Consolas"/>
                <w:sz w:val="19"/>
              </w:rPr>
              <w:t>navigation-routes.test.ts</w:t>
            </w:r>
            <w:r>
              <w:t xml:space="preserve"> still pass (no </w:t>
            </w:r>
            <w:r>
              <w:rPr>
                <w:rFonts w:ascii="Consolas" w:hAnsi="Consolas"/>
                <w:sz w:val="19"/>
              </w:rPr>
              <w:t>/platform/*</w:t>
            </w:r>
            <w:r>
              <w:t xml:space="preserve"> leak to tenants)</w:t>
            </w:r>
          </w:p>
        </w:tc>
      </w:tr>
    </w:tbl>
    <w:p/>
    <w:p>
      <w:pPr>
        <w:pStyle w:val="Heading2"/>
      </w:pPr>
      <w:r>
        <w:rPr>
          <w:color w:val="1F497D"/>
        </w:rPr>
        <w:t xml:space="preserve">4. Capture points (preview </w:t>
      </w:r>
      <w:r>
        <w:rPr>
          <w:rFonts w:ascii="Consolas" w:hAnsi="Consolas"/>
          <w:color w:val="1F497D"/>
          <w:sz w:val="19"/>
        </w:rPr>
        <w:t>8b4c020</w:t>
      </w:r>
      <w:r>
        <w:rPr>
          <w:color w:val="1F497D"/>
        </w:rPr>
        <w:t>)</w:t>
      </w:r>
    </w:p>
    <w:p>
      <w:r>
        <w:t>Sign in as platform-owner; shoot each to compare the unified header/spacing (authenticated screenshots can't be captured from the build sandbox):</w:t>
      </w:r>
    </w:p>
    <w:p>
      <w:pPr>
        <w:ind w:left="240"/>
      </w:pPr>
      <w:r>
        <w:rPr>
          <w:rFonts w:ascii="Consolas" w:hAnsi="Consolas"/>
          <w:sz w:val="18"/>
        </w:rPr>
        <w:t>…/platform                      …/platform/analytics</w:t>
        <w:br/>
        <w:t>…/platform/activity             …/platform/copilot-analytics</w:t>
        <w:br/>
        <w:t>…/platform/audit                …/platform/drugs</w:t>
      </w:r>
    </w:p>
    <w:p>
      <w:pPr>
        <w:pStyle w:val="Heading2"/>
      </w:pPr>
      <w:r>
        <w:rPr>
          <w:color w:val="1F497D"/>
        </w:rPr>
        <w:t>5. Status &amp; next</w:t>
      </w:r>
    </w:p>
    <w:p>
      <w:pPr>
        <w:pStyle w:val="ListBullet"/>
      </w:pPr>
      <w:r>
        <w:rPr>
          <w:b/>
        </w:rPr>
        <w:t>AC-1 complete, validated, pushed</w:t>
      </w:r>
      <w:r>
        <w:t xml:space="preserve"> (</w:t>
      </w:r>
      <w:r>
        <w:rPr>
          <w:rFonts w:ascii="Consolas" w:hAnsi="Consolas"/>
          <w:sz w:val="19"/>
        </w:rPr>
        <w:t>8b4c020</w:t>
      </w:r>
      <w:r>
        <w:t>).</w:t>
      </w:r>
    </w:p>
    <w:p>
      <w:pPr>
        <w:pStyle w:val="ListBullet"/>
      </w:pPr>
      <w:r>
        <w:rPr>
          <w:b/>
        </w:rPr>
        <w:t>Next:</w:t>
      </w:r>
      <w:r>
        <w:t xml:space="preserve"> AC-2 (entity workbench migration) — the heavier restructure of bespoke managers (</w:t>
      </w:r>
      <w:r>
        <w:rPr>
          <w:rFonts w:ascii="Consolas" w:hAnsi="Consolas"/>
          <w:sz w:val="19"/>
        </w:rPr>
        <w:t>PlansManager</w:t>
      </w:r>
      <w:r>
        <w:t xml:space="preserve"> / </w:t>
      </w:r>
      <w:r>
        <w:rPr>
          <w:rFonts w:ascii="Consolas" w:hAnsi="Consolas"/>
          <w:sz w:val="19"/>
        </w:rPr>
        <w:t>RolesManager</w:t>
      </w:r>
      <w:r>
        <w:t xml:space="preserve"> / </w:t>
      </w:r>
      <w:r>
        <w:rPr>
          <w:rFonts w:ascii="Consolas" w:hAnsi="Consolas"/>
          <w:sz w:val="19"/>
        </w:rPr>
        <w:t>StaffManager</w:t>
      </w:r>
      <w:r>
        <w:t xml:space="preserve"> / Entitlements) into the 3-panel </w:t>
      </w:r>
      <w:r>
        <w:rPr>
          <w:rFonts w:ascii="Consolas" w:hAnsi="Consolas"/>
          <w:sz w:val="19"/>
        </w:rPr>
        <w:t>AdminWorkbench</w:t>
      </w:r>
      <w:r>
        <w:t xml:space="preserve">, </w:t>
      </w:r>
      <w:r>
        <w:rPr>
          <w:b/>
        </w:rPr>
        <w:t>one page per commit with validation after each</w:t>
      </w:r>
      <w:r>
        <w:t xml:space="preserve">, starting with </w:t>
      </w:r>
      <w:r>
        <w:rPr>
          <w:b/>
        </w:rPr>
        <w:t>Plans</w:t>
      </w:r>
      <w:r>
        <w:t>.</w:t>
      </w:r>
    </w:p>
    <w:p>
      <w:pPr>
        <w:pStyle w:val="ListBullet"/>
      </w:pPr>
      <w:r>
        <w:t>Constraints unchanged: no business-logic / permission / RLS / workflow / route change; reuse existing managers/actions/data first.</w:t>
      </w:r>
    </w:p>
    <w:p>
      <w:r>
        <w:t xml:space="preserve">Holding at this checkpoint for your before/after review of the 6 shells; on your go I proceed with </w:t>
      </w:r>
      <w:r>
        <w:rPr>
          <w:b/>
        </w:rPr>
        <w:t>AC-2 #1 Plans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