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P5-3 — Customer Workbench Shell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P5-3 — Customer Workbench Shell</w:t>
      </w:r>
    </w:p>
    <w:p>
      <w:pPr>
        <w:pStyle w:val="Heading3"/>
      </w:pPr>
      <w:r>
        <w:t>CustomersWorkbench + FMCG operational layout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Implemented · validated · pushed — *no route rewire yet (P5-4)*</w:t>
      </w:r>
    </w:p>
    <w:p>
      <w:r>
        <w:t>The canonical 3-panel Customer Workbench assembled on the shared AdminWorkbench, with the approved FMCG operational proportions applied. Reuse-first: the center is the existing Customer 360 (P5-2b); the left/right panels and the lazy detail loader are existing primitives. No business-logic, permission, RLS, or workflow change; no route change.</w:t>
      </w:r>
    </w:p>
    <w:p>
      <w:pPr>
        <w:pStyle w:val="Heading2"/>
      </w:pPr>
      <w:r>
        <w:rPr>
          <w:color w:val="1F497D"/>
        </w:rPr>
        <w:t>1. Architecture</w:t>
      </w:r>
    </w:p>
    <w:p>
      <w:r>
        <w:rPr>
          <w:rFonts w:ascii="Consolas" w:hAnsi="Consolas"/>
          <w:sz w:val="19"/>
        </w:rPr>
        <w:t>CustomersWorkbench</w:t>
      </w:r>
      <w:r>
        <w:t xml:space="preserve"> composes the three-panel shell: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Panel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Left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EntityListPanel</w:t>
            </w:r>
          </w:p>
        </w:tc>
        <w:tc>
          <w:tcPr>
            <w:tcW w:type="dxa" w:w="2880"/>
          </w:tcPr>
          <w:p>
            <w:r>
              <w:t>Type-ahead list over code · name · phone; URL-addressable selection (</w:t>
            </w:r>
            <w:r>
              <w:rPr>
                <w:rFonts w:ascii="Consolas" w:hAnsi="Consolas"/>
                <w:sz w:val="19"/>
              </w:rPr>
              <w:t>?id=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Center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Customer360</w:t>
            </w:r>
            <w:r>
              <w:t xml:space="preserve"> (P5-2b)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primary focus</w:t>
            </w:r>
            <w:r>
              <w:t xml:space="preserve"> — Overview · Profile · Statement · Activity · Related · Audit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ContextPanel</w:t>
            </w:r>
          </w:p>
        </w:tc>
        <w:tc>
          <w:tcPr>
            <w:tcW w:type="dxa" w:w="2880"/>
          </w:tcPr>
          <w:p>
            <w:r>
              <w:t>Compact, summary-oriented: key figures + status badge + related chips</w:t>
            </w:r>
          </w:p>
        </w:tc>
      </w:tr>
    </w:tbl>
    <w:p/>
    <w:p>
      <w:r>
        <w:t xml:space="preserve">The detail bundle (statement · activity · merged 360 timeline) is </w:t>
      </w:r>
      <w:r>
        <w:rPr>
          <w:b/>
        </w:rPr>
        <w:t>lazy-loaded per selection</w:t>
      </w:r>
      <w:r>
        <w:t xml:space="preserve"> via </w:t>
      </w:r>
      <w:r>
        <w:rPr>
          <w:rFonts w:ascii="Consolas" w:hAnsi="Consolas"/>
          <w:sz w:val="19"/>
        </w:rPr>
        <w:t>loadCustomerDetailBundleAction</w:t>
      </w:r>
      <w:r>
        <w:t xml:space="preserve"> — auth-gated, RLS-scoped, read-only. Selection + active tab are URL-addressable through </w:t>
      </w:r>
      <w:r>
        <w:rPr>
          <w:rFonts w:ascii="Consolas" w:hAnsi="Consolas"/>
          <w:sz w:val="19"/>
        </w:rPr>
        <w:t>useWorkbenchSelection</w:t>
      </w:r>
      <w:r>
        <w:t xml:space="preserve"> (</w:t>
      </w:r>
      <w:r>
        <w:rPr>
          <w:rFonts w:ascii="Consolas" w:hAnsi="Consolas"/>
          <w:sz w:val="19"/>
        </w:rPr>
        <w:t>?id=&amp;tab=</w:t>
      </w:r>
      <w:r>
        <w:t>).</w:t>
      </w:r>
    </w:p>
    <w:p>
      <w:pPr>
        <w:pStyle w:val="Heading2"/>
      </w:pPr>
      <w:r>
        <w:rPr>
          <w:color w:val="1F497D"/>
        </w:rPr>
        <w:t>2. FMCG operational layout</w:t>
      </w:r>
    </w:p>
    <w:p>
      <w:r>
        <w:t xml:space="preserve">Implemented via a new </w:t>
      </w:r>
      <w:r>
        <w:rPr>
          <w:b/>
        </w:rPr>
        <w:t>backward-compatible</w:t>
      </w:r>
      <w:r>
        <w:t xml:space="preserve"> </w:t>
      </w:r>
      <w:r>
        <w:rPr>
          <w:rFonts w:ascii="Consolas" w:hAnsi="Consolas"/>
          <w:sz w:val="19"/>
        </w:rPr>
        <w:t>AdminWorkbench</w:t>
      </w:r>
      <w:r>
        <w:t xml:space="preserve"> option, </w:t>
      </w:r>
      <w:r>
        <w:rPr>
          <w:rFonts w:ascii="Consolas" w:hAnsi="Consolas"/>
          <w:sz w:val="19"/>
        </w:rPr>
        <w:t>layout="wide"</w:t>
      </w:r>
      <w:r>
        <w:t xml:space="preserve">. The </w:t>
      </w:r>
      <w:r>
        <w:rPr>
          <w:rFonts w:ascii="Consolas" w:hAnsi="Consolas"/>
          <w:sz w:val="19"/>
        </w:rPr>
        <w:t>default</w:t>
      </w:r>
      <w:r>
        <w:t xml:space="preserve"> path is </w:t>
      </w:r>
      <w:r>
        <w:rPr>
          <w:b/>
        </w:rPr>
        <w:t>byte-identical</w:t>
      </w:r>
      <w:r>
        <w:t>, so every existing workbench (Companies · Users · Roles · Features · Branches) is unaffected.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Guideline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Customer360 is the primary focus</w:t>
            </w:r>
          </w:p>
        </w:tc>
        <w:tc>
          <w:tcPr>
            <w:tcW w:type="dxa" w:w="4320"/>
          </w:tcPr>
          <w:p>
            <w:r>
              <w:t xml:space="preserve">center uncapped (the </w:t>
            </w:r>
            <w:r>
              <w:rPr>
                <w:rFonts w:ascii="Consolas" w:hAnsi="Consolas"/>
                <w:sz w:val="19"/>
              </w:rPr>
              <w:t>max-w-[860px]</w:t>
            </w:r>
            <w:r>
              <w:t xml:space="preserve"> cap is removed in wide); slimmer list (256px)</w:t>
            </w:r>
          </w:p>
        </w:tc>
      </w:tr>
      <w:tr>
        <w:tc>
          <w:tcPr>
            <w:tcW w:type="dxa" w:w="4320"/>
          </w:tcPr>
          <w:p>
            <w:r>
              <w:t>Avoid equal-width layouts</w:t>
            </w:r>
          </w:p>
        </w:tc>
        <w:tc>
          <w:tcPr>
            <w:tcW w:type="dxa" w:w="4320"/>
          </w:tcPr>
          <w:p>
            <w:r>
              <w:t xml:space="preserve">tracks </w:t>
            </w:r>
            <w:r>
              <w:rPr>
                <w:rFonts w:ascii="Consolas" w:hAnsi="Consolas"/>
                <w:sz w:val="19"/>
              </w:rPr>
              <w:t>256px · minmax(0,1fr) · 300px</w:t>
            </w:r>
            <w:r>
              <w:t xml:space="preserve"> — center dominant, never equal</w:t>
            </w:r>
          </w:p>
        </w:tc>
      </w:tr>
      <w:tr>
        <w:tc>
          <w:tcPr>
            <w:tcW w:type="dxa" w:w="4320"/>
          </w:tcPr>
          <w:p>
            <w:r>
              <w:t>Statement / Activity / Profile get the majority of space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dynamic per-tab sizing</w:t>
            </w:r>
            <w:r>
              <w:t xml:space="preserve">: these data-dense facets </w:t>
            </w:r>
            <w:r>
              <w:rPr>
                <w:b/>
              </w:rPr>
              <w:t>drop the right rail</w:t>
            </w:r>
            <w:r>
              <w:t xml:space="preserve">, so the grid collapses to </w:t>
            </w:r>
            <w:r>
              <w:rPr>
                <w:rFonts w:ascii="Consolas" w:hAnsi="Consolas"/>
                <w:sz w:val="19"/>
              </w:rPr>
              <w:t>256px · 1fr</w:t>
            </w:r>
            <w:r>
              <w:t xml:space="preserve"> and the center spans the full width</w:t>
            </w:r>
          </w:p>
        </w:tc>
      </w:tr>
      <w:tr>
        <w:tc>
          <w:tcPr>
            <w:tcW w:type="dxa" w:w="4320"/>
          </w:tcPr>
          <w:p>
            <w:r>
              <w:t>ContextPanel compact + summary-oriented</w:t>
            </w:r>
          </w:p>
        </w:tc>
        <w:tc>
          <w:tcPr>
            <w:tcW w:type="dxa" w:w="4320"/>
          </w:tcPr>
          <w:p>
            <w:r>
              <w:t>300px; shown only on Overview / Related / Audit; key figures + status + chips</w:t>
            </w:r>
          </w:p>
        </w:tc>
      </w:tr>
      <w:tr>
        <w:tc>
          <w:tcPr>
            <w:tcW w:type="dxa" w:w="4320"/>
          </w:tcPr>
          <w:p>
            <w:r>
              <w:t>Mobile: full-width + collapsible context</w:t>
            </w:r>
          </w:p>
        </w:tc>
        <w:tc>
          <w:tcPr>
            <w:tcW w:type="dxa" w:w="4320"/>
          </w:tcPr>
          <w:p>
            <w:r>
              <w:t xml:space="preserve">unchanged AdminWorkbench behavior — below </w:t>
            </w:r>
            <w:r>
              <w:rPr>
                <w:rFonts w:ascii="Consolas" w:hAnsi="Consolas"/>
                <w:sz w:val="19"/>
              </w:rPr>
              <w:t>xl</w:t>
            </w:r>
            <w:r>
              <w:t xml:space="preserve"> the center is full-width and context collapses to the </w:t>
            </w:r>
            <w:r>
              <w:rPr>
                <w:b/>
              </w:rPr>
              <w:t>Info</w:t>
            </w:r>
            <w:r>
              <w:t xml:space="preserve"> drawer</w:t>
            </w:r>
          </w:p>
        </w:tc>
      </w:tr>
    </w:tbl>
    <w:p/>
    <w:p>
      <w:pPr>
        <w:pStyle w:val="Heading2"/>
      </w:pPr>
      <w:r>
        <w:rPr>
          <w:color w:val="1F497D"/>
        </w:rPr>
        <w:t>3. Preview captures (proportions)</w:t>
      </w:r>
    </w:p>
    <w:p>
      <w:pPr>
        <w:ind w:left="240"/>
      </w:pPr>
      <w:r>
        <w:rPr>
          <w:rFonts w:ascii="Consolas" w:hAnsi="Consolas"/>
          <w:sz w:val="18"/>
        </w:rPr>
        <w:t>WIDE — non-dense tab (Overview/Related/Audit)        WIDE — dense tab (Statement/Activity/Profile)</w:t>
        <w:br/>
        <w:t>+--256px--+------ center (1fr) ------+-300px--+       +--256px--+----------- center (full 1fr) -----------+</w:t>
        <w:br/>
        <w:t>|  list   |  Customer 360 (focus)   | context|       |  list   |  Customer 360 — statement / ledger /    |</w:t>
        <w:br/>
        <w:t>|  search |  Overview · stats       | summary|       |  search |  aging · open invoices · timeline       |</w:t>
        <w:br/>
        <w:t>|  &gt; Acme |                         | status |       |  &gt; Acme |  (right rail dropped -&gt; max width)      |</w:t>
        <w:br/>
        <w:t>+---------+-------------------------+--------+       +---------+-----------------------------------------+</w:t>
        <w:br/>
        <w:br/>
        <w:t>MOBILE (&lt; xl) — every tab                       DEFAULT layout (unchanged, e.g. Companies)</w:t>
        <w:br/>
        <w:t>+------- Customer 360 (full width) ------+      +-280px-+---- center (&lt;=860px) ----+-320px-+</w:t>
        <w:br/>
        <w:t>|  [i Details]  &lt;- context = drawer      |      | list  |  detail (capped)         |context|</w:t>
        <w:br/>
        <w:t>|  tabs · content full-bleed             |      +-------+--------------------------+-------+</w:t>
        <w:br/>
        <w:t>+----------------------------------------+      (byte-identical to before this change)</w:t>
      </w:r>
    </w:p>
    <w:p>
      <w:pPr>
        <w:pStyle w:val="Heading2"/>
      </w:pPr>
      <w:r>
        <w:rPr>
          <w:color w:val="1F497D"/>
        </w:rPr>
        <w:t>4.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 xml:space="preserve">Reused </w:t>
            </w:r>
            <w:r>
              <w:rPr>
                <w:b/>
                <w:color w:val="FFFFFF"/>
              </w:rPr>
              <w:t>verbatim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New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AdminWorkbench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EntityListPanel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DetailPlaceholder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ContextPanel</w:t>
            </w:r>
            <w:r>
              <w:t>/</w:t>
            </w:r>
            <w:r>
              <w:rPr>
                <w:rFonts w:ascii="Consolas" w:hAnsi="Consolas"/>
                <w:sz w:val="19"/>
              </w:rPr>
              <w:t>ContextSection</w:t>
            </w:r>
            <w:r>
              <w:t>/</w:t>
            </w:r>
            <w:r>
              <w:rPr>
                <w:rFonts w:ascii="Consolas" w:hAnsi="Consolas"/>
                <w:sz w:val="19"/>
              </w:rPr>
              <w:t>SummaryList</w:t>
            </w:r>
            <w:r>
              <w:t>/</w:t>
            </w:r>
            <w:r>
              <w:rPr>
                <w:rFonts w:ascii="Consolas" w:hAnsi="Consolas"/>
                <w:sz w:val="19"/>
              </w:rPr>
              <w:t>RelatedChips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customers-workbench.tsx</w:t>
            </w:r>
            <w:r>
              <w:t xml:space="preserve"> shell (~180 LOC)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Customer360</w:t>
            </w:r>
            <w:r>
              <w:t xml:space="preserve"> (P5-2b) + all its reused components/actions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customers-workbench-actions.ts</w:t>
            </w:r>
            <w:r>
              <w:t xml:space="preserve"> loader action (~20 LOC)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loadCustomerDetailBundle</w:t>
            </w:r>
            <w:r>
              <w:t xml:space="preserve"> (P5-1)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AdminWorkbench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layout="wide"</w:t>
            </w:r>
            <w:r>
              <w:t xml:space="preserve"> option (additive, ~12 LOC)</w:t>
            </w:r>
          </w:p>
        </w:tc>
      </w:tr>
      <w:tr>
        <w:tc>
          <w:tcPr>
            <w:tcW w:type="dxa" w:w="4320"/>
          </w:tcPr>
          <w:p>
            <w:r>
              <w:t>All permission gates (</w:t>
            </w:r>
            <w:r>
              <w:rPr>
                <w:rFonts w:ascii="Consolas" w:hAnsi="Consolas"/>
                <w:sz w:val="19"/>
              </w:rPr>
              <w:t>customers.approve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customer.transfer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sales.collect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shared badge maps moved into the pure </w:t>
            </w:r>
            <w:r>
              <w:rPr>
                <w:rFonts w:ascii="Consolas" w:hAnsi="Consolas"/>
                <w:sz w:val="19"/>
              </w:rPr>
              <w:t>customer-360-tabs</w:t>
            </w:r>
            <w:r>
              <w:t xml:space="preserve"> helper</w:t>
            </w:r>
          </w:p>
        </w:tc>
      </w:tr>
    </w:tbl>
    <w:p/>
    <w:p>
      <w:r>
        <w:rPr>
          <w:b/>
        </w:rPr>
        <w:t>Estimated reuse ≈ 90%.</w:t>
      </w:r>
      <w:r>
        <w:t xml:space="preserve"> Zero business-logic / permission / RLS / workflow change; no new permissions or actions.</w:t>
      </w:r>
    </w:p>
    <w:p>
      <w:pPr>
        <w:pStyle w:val="Heading2"/>
      </w:pPr>
      <w:r>
        <w:rPr>
          <w:color w:val="1F497D"/>
        </w:rPr>
        <w:t>5.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vitest run</w:t>
            </w:r>
          </w:p>
        </w:tc>
        <w:tc>
          <w:tcPr>
            <w:tcW w:type="dxa" w:w="4320"/>
          </w:tcPr>
          <w:p>
            <w:r>
              <w:t>1601 passed / 192 skipped (unchanged)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next build</w:t>
            </w:r>
          </w:p>
        </w:tc>
        <w:tc>
          <w:tcPr>
            <w:tcW w:type="dxa" w:w="4320"/>
          </w:tcPr>
          <w:p>
            <w:r>
              <w:t>compiled successfully (67s)</w:t>
            </w:r>
          </w:p>
        </w:tc>
      </w:tr>
      <w:tr>
        <w:tc>
          <w:tcPr>
            <w:tcW w:type="dxa" w:w="4320"/>
          </w:tcPr>
          <w:p>
            <w:r>
              <w:t>Route 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/customers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/customers/[id]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/[id]/360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/transfer</w:t>
            </w:r>
            <w:r>
              <w:t xml:space="preserve"> build </w:t>
            </w:r>
            <w:r>
              <w:rPr>
                <w:b/>
              </w:rPr>
              <w:t>unchanged</w:t>
            </w:r>
            <w:r>
              <w:t xml:space="preserve"> (no rewire yet)</w:t>
            </w:r>
          </w:p>
        </w:tc>
      </w:tr>
      <w:tr>
        <w:tc>
          <w:tcPr>
            <w:tcW w:type="dxa" w:w="4320"/>
          </w:tcPr>
          <w:p>
            <w:r>
              <w:t>Existing workbenches</w:t>
            </w:r>
          </w:p>
        </w:tc>
        <w:tc>
          <w:tcPr>
            <w:tcW w:type="dxa" w:w="4320"/>
          </w:tcPr>
          <w:p>
            <w:r>
              <w:t xml:space="preserve">default </w:t>
            </w:r>
            <w:r>
              <w:rPr>
                <w:rFonts w:ascii="Consolas" w:hAnsi="Consolas"/>
                <w:sz w:val="19"/>
              </w:rPr>
              <w:t>AdminWorkbench</w:t>
            </w:r>
            <w:r>
              <w:t xml:space="preserve"> path byte-identical → Companies/Users/Roles/Features/Branches unaffected</w:t>
            </w:r>
          </w:p>
        </w:tc>
      </w:tr>
    </w:tbl>
    <w:p/>
    <w:p>
      <w:pPr>
        <w:pStyle w:val="Heading2"/>
      </w:pPr>
      <w:r>
        <w:rPr>
          <w:color w:val="1F497D"/>
        </w:rPr>
        <w:t>6. Gap-matrix (P5-3 status)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t>List + selection + search</w:t>
            </w:r>
          </w:p>
        </w:tc>
        <w:tc>
          <w:tcPr>
            <w:tcW w:type="dxa" w:w="4320"/>
          </w:tcPr>
          <w:p>
            <w:r>
              <w:t xml:space="preserve">Done — </w:t>
            </w:r>
            <w:r>
              <w:rPr>
                <w:rFonts w:ascii="Consolas" w:hAnsi="Consolas"/>
                <w:sz w:val="19"/>
              </w:rPr>
              <w:t>EntityListPanel</w:t>
            </w:r>
          </w:p>
        </w:tc>
      </w:tr>
      <w:tr>
        <w:tc>
          <w:tcPr>
            <w:tcW w:type="dxa" w:w="4320"/>
          </w:tcPr>
          <w:p>
            <w:r>
              <w:t>Customer 360 (6 tabs · actions · richer activity)</w:t>
            </w:r>
          </w:p>
        </w:tc>
        <w:tc>
          <w:tcPr>
            <w:tcW w:type="dxa" w:w="4320"/>
          </w:tcPr>
          <w:p>
            <w:r>
              <w:t>Done — P5-2b</w:t>
            </w:r>
          </w:p>
        </w:tc>
      </w:tr>
      <w:tr>
        <w:tc>
          <w:tcPr>
            <w:tcW w:type="dxa" w:w="4320"/>
          </w:tcPr>
          <w:p>
            <w:r>
              <w:t>Lazy detail bundle (statement · activity · 360 timeline)</w:t>
            </w:r>
          </w:p>
        </w:tc>
        <w:tc>
          <w:tcPr>
            <w:tcW w:type="dxa" w:w="4320"/>
          </w:tcPr>
          <w:p>
            <w:r>
              <w:t xml:space="preserve">Done — </w:t>
            </w:r>
            <w:r>
              <w:rPr>
                <w:rFonts w:ascii="Consolas" w:hAnsi="Consolas"/>
                <w:sz w:val="19"/>
              </w:rPr>
              <w:t>loadCustomerDetailBundleAction</w:t>
            </w:r>
          </w:p>
        </w:tc>
      </w:tr>
      <w:tr>
        <w:tc>
          <w:tcPr>
            <w:tcW w:type="dxa" w:w="4320"/>
          </w:tcPr>
          <w:p>
            <w:r>
              <w:t>Compact context (summary · status · related)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Server search · 3 filters · pagination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Pending P5-4</w:t>
            </w:r>
            <w:r>
              <w:t xml:space="preserve"> (page rewire); shell uses client type-ahead for now</w:t>
            </w:r>
          </w:p>
        </w:tc>
      </w:tr>
      <w:tr>
        <w:tc>
          <w:tcPr>
            <w:tcW w:type="dxa" w:w="4320"/>
          </w:tcPr>
          <w:p>
            <w:r>
              <w:t xml:space="preserve">Old-route deep links → </w:t>
            </w:r>
            <w:r>
              <w:rPr>
                <w:rFonts w:ascii="Consolas" w:hAnsi="Consolas"/>
                <w:sz w:val="19"/>
              </w:rPr>
              <w:t>?id=&amp;tab=</w:t>
            </w:r>
            <w:r>
              <w:t xml:space="preserve"> redirects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Pending P5-4</w:t>
            </w:r>
          </w:p>
        </w:tc>
      </w:tr>
    </w:tbl>
    <w:p/>
    <w:p>
      <w:pPr>
        <w:pStyle w:val="Heading2"/>
      </w:pPr>
      <w:r>
        <w:rPr>
          <w:color w:val="1F497D"/>
        </w:rPr>
        <w:t>7. Next — P5-4</w:t>
      </w:r>
    </w:p>
    <w:p>
      <w:r>
        <w:t xml:space="preserve">Rewire </w:t>
      </w:r>
      <w:r>
        <w:rPr>
          <w:rFonts w:ascii="Consolas" w:hAnsi="Consolas"/>
          <w:sz w:val="19"/>
        </w:rPr>
        <w:t>/customers/page.tsx</w:t>
      </w:r>
      <w:r>
        <w:t xml:space="preserve"> onto </w:t>
      </w:r>
      <w:r>
        <w:rPr>
          <w:rFonts w:ascii="Consolas" w:hAnsi="Consolas"/>
          <w:sz w:val="19"/>
        </w:rPr>
        <w:t>CustomersWorkbench</w:t>
      </w:r>
      <w:r>
        <w:t xml:space="preserve"> (wiring server search · the 3 filters · pagination), add </w:t>
      </w:r>
      <w:r>
        <w:rPr>
          <w:rFonts w:ascii="Consolas" w:hAnsi="Consolas"/>
          <w:sz w:val="19"/>
        </w:rPr>
        <w:t>[id]</w:t>
      </w:r>
      <w:r>
        <w:t xml:space="preserve"> and </w:t>
      </w:r>
      <w:r>
        <w:rPr>
          <w:rFonts w:ascii="Consolas" w:hAnsi="Consolas"/>
          <w:sz w:val="19"/>
        </w:rPr>
        <w:t>[id]/360</w:t>
      </w:r>
      <w:r>
        <w:t xml:space="preserve"> redirect stubs to preserve deep links, and provide the final gap-matrix sign-off confirming no functional reduction.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