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8"/>
          <w:szCs w:val="38"/>
        </w:rPr>
      </w:pPr>
      <w:bookmarkStart w:colFirst="0" w:colLast="0" w:name="_az8ige9tt7sq" w:id="0"/>
      <w:bookmarkEnd w:id="0"/>
      <w:r w:rsidDel="00000000" w:rsidR="00000000" w:rsidRPr="00000000">
        <w:rPr>
          <w:b w:val="1"/>
          <w:bCs w:val="1"/>
          <w:sz w:val="38"/>
          <w:szCs w:val="38"/>
          <w:rtl w:val="0"/>
        </w:rPr>
        <w:t xml:space="preserve">Current Research Approaches for Multi-Magnification Fusion in Breast Cancer Histopathology Classification (BreaKHis Dataset)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gpvnhyi1fhc" w:id="1"/>
      <w:bookmarkEnd w:id="1"/>
      <w:r w:rsidDel="00000000" w:rsidR="00000000" w:rsidRPr="00000000">
        <w:rPr>
          <w:b w:val="1"/>
          <w:bCs w:val="1"/>
          <w:color w:val="000000"/>
          <w:sz w:val="26"/>
          <w:szCs w:val="26"/>
          <w:rtl w:val="0"/>
        </w:rPr>
        <w:t xml:space="preserve">1. Multi-Branch CNNs (Late Fusion)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Independent CNN backbones run in parallel, one per magnification (40×, 100×, 200×, 400×), each extracting its own feature vector. Instead of classifying at each branch, the vectors are concatenated into one combined embedding and passed through a final dense layer for the prediction. Because fusion happens after feature extraction rather than at the pixel level, this is called late fusion.</w:t>
      </w:r>
    </w:p>
    <w:p w:rsidR="00000000" w:rsidDel="00000000" w:rsidP="00000000" w:rsidRDefault="00000000" w:rsidRPr="00000000" w14:paraId="00000004">
      <w:pPr>
        <w:spacing w:after="240" w:before="240" w:lineRule="auto"/>
        <w:rPr>
          <w:color w:val="1155cc"/>
          <w:u w:val="single"/>
        </w:rPr>
      </w:pPr>
      <w:r w:rsidDel="00000000" w:rsidR="00000000" w:rsidRPr="00000000">
        <w:rPr>
          <w:b w:val="1"/>
          <w:bCs w:val="1"/>
          <w:rtl w:val="0"/>
        </w:rPr>
        <w:t xml:space="preserve">Representative Paper:</w:t>
      </w:r>
      <w:r w:rsidDel="00000000" w:rsidR="00000000" w:rsidRPr="00000000">
        <w:rPr>
          <w:rtl w:val="0"/>
        </w:rPr>
        <w:t xml:space="preserve"> 6B-Net — a six-branch CNN, each branch with a different receptive field, fused for 8-class BreaKHis classification.</w:t>
        <w:br w:type="textWrapping"/>
        <w:t xml:space="preserve"> Umer et al., "Multi-Classification of Breast Cancer Using 6B-Net with Deep Feature Fusion and Selection Method," </w:t>
      </w:r>
      <w:r w:rsidDel="00000000" w:rsidR="00000000" w:rsidRPr="00000000">
        <w:rPr>
          <w:i w:val="1"/>
          <w:iCs w:val="1"/>
          <w:rtl w:val="0"/>
        </w:rPr>
        <w:t xml:space="preserve">Journal of Personalized Medicine</w:t>
      </w:r>
      <w:r w:rsidDel="00000000" w:rsidR="00000000" w:rsidRPr="00000000">
        <w:rPr>
          <w:rtl w:val="0"/>
        </w:rPr>
        <w:t xml:space="preserve">, 2022.</w:t>
        <w:br w:type="textWrapping"/>
        <w:t xml:space="preserve"> 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https://www.ncbi.nlm.nih.gov/pmc/articles/PMC9146727/</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Results:</w:t>
      </w:r>
      <w:r w:rsidDel="00000000" w:rsidR="00000000" w:rsidRPr="00000000">
        <w:rPr>
          <w:rtl w:val="0"/>
        </w:rPr>
        <w:t xml:space="preserve"> Multi-branch fusion methods generally push BreaKHis accuracy from ~90% (single-magnification) up into the mid-to-high 90s at patient level.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32rurh4b9di" w:id="2"/>
      <w:bookmarkEnd w:id="2"/>
      <w:r w:rsidDel="00000000" w:rsidR="00000000" w:rsidRPr="00000000">
        <w:rPr>
          <w:b w:val="1"/>
          <w:bCs w:val="1"/>
          <w:color w:val="000000"/>
          <w:sz w:val="26"/>
          <w:szCs w:val="26"/>
          <w:rtl w:val="0"/>
        </w:rPr>
        <w:t xml:space="preserve">2. Attention Mechanisms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Builds on the multi-branch design by adding a Convolutional Block Attention Module (CBAM) before fusion. CBAM computes channel attention (which feature channels matter most) and spatial attention (which regions matter most), then weights each branch's features accordingly. This lets the network dynamically emphasize whichever magnification carries the clearest diagnostic signal for a given image, rather than treating all magnifications equally.</w:t>
      </w:r>
    </w:p>
    <w:p w:rsidR="00000000" w:rsidDel="00000000" w:rsidP="00000000" w:rsidRDefault="00000000" w:rsidRPr="00000000" w14:paraId="00000009">
      <w:pPr>
        <w:spacing w:after="240" w:before="240" w:lineRule="auto"/>
        <w:rPr>
          <w:color w:val="1155cc"/>
          <w:u w:val="single"/>
        </w:rPr>
      </w:pPr>
      <w:r w:rsidDel="00000000" w:rsidR="00000000" w:rsidRPr="00000000">
        <w:rPr>
          <w:b w:val="1"/>
          <w:bCs w:val="1"/>
          <w:rtl w:val="0"/>
        </w:rPr>
        <w:t xml:space="preserve">Representative Paper:</w:t>
      </w:r>
      <w:r w:rsidDel="00000000" w:rsidR="00000000" w:rsidRPr="00000000">
        <w:rPr>
          <w:rtl w:val="0"/>
        </w:rPr>
        <w:t xml:space="preserve"> ECSAnet (Efficient Channel-Spatial Attention Network), built on EfficientNetV2 + CBAM.</w:t>
        <w:br w:type="textWrapping"/>
        <w:t xml:space="preserve"> "Attention-Based Deep Learning Approach for Breast Cancer Histopathological Image Multi-Classification," </w:t>
      </w:r>
      <w:r w:rsidDel="00000000" w:rsidR="00000000" w:rsidRPr="00000000">
        <w:rPr>
          <w:i w:val="1"/>
          <w:iCs w:val="1"/>
          <w:rtl w:val="0"/>
        </w:rPr>
        <w:t xml:space="preserve">Diagnostics</w:t>
      </w:r>
      <w:r w:rsidDel="00000000" w:rsidR="00000000" w:rsidRPr="00000000">
        <w:rPr>
          <w:rtl w:val="0"/>
        </w:rPr>
        <w:t xml:space="preserve"> (MDPI), 2024.</w:t>
        <w:br w:type="textWrapping"/>
        <w:t xml:space="preserve"> 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https://www.ncbi.nlm.nih.gov/pmc/articles/PMC11241245/</w:t>
          <w:br w:type="textWrapping"/>
        </w:r>
      </w:hyperlink>
      <w:r w:rsidDel="00000000" w:rsidR="00000000" w:rsidRPr="00000000">
        <w:rPr>
          <w:rtl w:val="0"/>
        </w:rPr>
        <w:t xml:space="preserve"> Code: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https://github.com/LamaAldakhil/ECSAnet</w:t>
        </w:r>
      </w:hyperlink>
      <w:r w:rsidDel="00000000" w:rsidR="00000000" w:rsidRPr="00000000">
        <w:rPr>
          <w:rtl w:val="0"/>
        </w:rPr>
      </w:r>
    </w:p>
    <w:p w:rsidR="00000000" w:rsidDel="00000000" w:rsidP="00000000" w:rsidRDefault="00000000" w:rsidRPr="00000000" w14:paraId="0000000A">
      <w:pPr>
        <w:spacing w:after="240" w:before="240" w:lineRule="auto"/>
        <w:rPr>
          <w:color w:val="1155cc"/>
          <w:u w:val="single"/>
        </w:rPr>
      </w:pPr>
      <w:r w:rsidDel="00000000" w:rsidR="00000000" w:rsidRPr="00000000">
        <w:rPr>
          <w:b w:val="1"/>
          <w:bCs w:val="1"/>
          <w:rtl w:val="0"/>
        </w:rPr>
        <w:t xml:space="preserve">Additional paper (higher accuracy range):</w:t>
      </w:r>
      <w:r w:rsidDel="00000000" w:rsidR="00000000" w:rsidRPr="00000000">
        <w:rPr>
          <w:rtl w:val="0"/>
        </w:rPr>
        <w:t xml:space="preserve"> "Improved Breast Cancer Classification through Combining Transfer Learning and Attention Mechanism"</w:t>
        <w:br w:type="textWrapping"/>
        <w:t xml:space="preserve"> Link:</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https://pmc.ncbi.nlm.nih.gov/articles/PMC10532552/</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Results:</w:t>
      </w:r>
      <w:r w:rsidDel="00000000" w:rsidR="00000000" w:rsidRPr="00000000">
        <w:rPr>
          <w:rtl w:val="0"/>
        </w:rPr>
        <w:t xml:space="preserve"> ECSAnet reports 94.2% (40×), 92.96% (100×), 88.41% (200×), 89.42% (400×). The transfer-learning + attention paper above reports 99.2%–99.6% on BreakHis.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w1yg17vr5jd" w:id="3"/>
      <w:bookmarkEnd w:id="3"/>
      <w:r w:rsidDel="00000000" w:rsidR="00000000" w:rsidRPr="00000000">
        <w:rPr>
          <w:b w:val="1"/>
          <w:bCs w:val="1"/>
          <w:color w:val="000000"/>
          <w:sz w:val="26"/>
          <w:szCs w:val="26"/>
          <w:rtl w:val="0"/>
        </w:rPr>
        <w:t xml:space="preserve">3. CNN-Transformer Hybrids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Splits the work between two architectures based on their strengths. CNNs capture fine local detail — cell shape, nucleus texture — best suited to high-zoom images (200×, 400×). Vision Transformers use self-attention to relate distant regions, better suited to the overall tissue layout visible at low zoom (40×, 100×). High-magnification images go through a CNN branch, low-magnification images through a Transformer branch, and the two outputs are fused for the final prediction.</w:t>
      </w:r>
    </w:p>
    <w:p w:rsidR="00000000" w:rsidDel="00000000" w:rsidP="00000000" w:rsidRDefault="00000000" w:rsidRPr="00000000" w14:paraId="0000000F">
      <w:pPr>
        <w:spacing w:after="240" w:before="240" w:lineRule="auto"/>
        <w:rPr>
          <w:color w:val="1155cc"/>
          <w:u w:val="single"/>
        </w:rPr>
      </w:pPr>
      <w:r w:rsidDel="00000000" w:rsidR="00000000" w:rsidRPr="00000000">
        <w:rPr>
          <w:b w:val="1"/>
          <w:bCs w:val="1"/>
          <w:rtl w:val="0"/>
        </w:rPr>
        <w:t xml:space="preserve">Representative Paper:</w:t>
      </w:r>
      <w:r w:rsidDel="00000000" w:rsidR="00000000" w:rsidRPr="00000000">
        <w:rPr>
          <w:rtl w:val="0"/>
        </w:rPr>
        <w:t xml:space="preserve"> MFF-ClassificationNet — two-branch CNN + Transformer with CBAM-SE fusion module.</w:t>
        <w:br w:type="textWrapping"/>
        <w:t xml:space="preserve"> "MFF-ClassificationNet: CNN-Transformer Hybrid with Multi-Feature Fusion for Breast Cancer Histopathology Classification," </w:t>
      </w:r>
      <w:r w:rsidDel="00000000" w:rsidR="00000000" w:rsidRPr="00000000">
        <w:rPr>
          <w:i w:val="1"/>
          <w:iCs w:val="1"/>
          <w:rtl w:val="0"/>
        </w:rPr>
        <w:t xml:space="preserve">Biosensors</w:t>
      </w:r>
      <w:r w:rsidDel="00000000" w:rsidR="00000000" w:rsidRPr="00000000">
        <w:rPr>
          <w:rtl w:val="0"/>
        </w:rPr>
        <w:t xml:space="preserve">, 2025.</w:t>
        <w:br w:type="textWrapping"/>
        <w:t xml:space="preserve"> Link:</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https://doi.org/10.3390/bios15110718</w:t>
          <w:br w:type="textWrapping"/>
        </w:r>
      </w:hyperlink>
      <w:r w:rsidDel="00000000" w:rsidR="00000000" w:rsidRPr="00000000">
        <w:rPr>
          <w:rtl w:val="0"/>
        </w:rPr>
        <w:t xml:space="preserve"> PMC mirror:</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https://www.ncbi.nlm.nih.gov/pmc/articles/PMC12649981/</w:t>
        </w:r>
      </w:hyperlink>
      <w:r w:rsidDel="00000000" w:rsidR="00000000" w:rsidRPr="00000000">
        <w:rPr>
          <w:rtl w:val="0"/>
        </w:rPr>
      </w:r>
    </w:p>
    <w:p w:rsidR="00000000" w:rsidDel="00000000" w:rsidP="00000000" w:rsidRDefault="00000000" w:rsidRPr="00000000" w14:paraId="00000010">
      <w:pPr>
        <w:spacing w:after="240" w:before="240" w:lineRule="auto"/>
        <w:rPr>
          <w:color w:val="1155cc"/>
          <w:u w:val="single"/>
        </w:rPr>
      </w:pPr>
      <w:r w:rsidDel="00000000" w:rsidR="00000000" w:rsidRPr="00000000">
        <w:rPr>
          <w:b w:val="1"/>
          <w:bCs w:val="1"/>
          <w:rtl w:val="0"/>
        </w:rPr>
        <w:t xml:space="preserve">Additional paper:</w:t>
      </w:r>
      <w:r w:rsidDel="00000000" w:rsidR="00000000" w:rsidRPr="00000000">
        <w:rPr>
          <w:rtl w:val="0"/>
        </w:rPr>
        <w:t xml:space="preserve"> EffNetV2-ViT — EfficientNetV2 + Vision Transformer hybrid.</w:t>
        <w:br w:type="textWrapping"/>
        <w:t xml:space="preserve"> M. Hayat et al., "Hybrid Deep Learning EfficientNetV2 and Vision Transformer (EffNetV2-ViT) Model," IEEE Access.</w:t>
        <w:br w:type="textWrapping"/>
        <w:t xml:space="preserve"> Link:</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https://www.diva-portal.org/smash/get/diva2:1928341/FULLTEXT01.pdf</w:t>
        </w:r>
      </w:hyperlink>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Results:</w:t>
      </w:r>
      <w:r w:rsidDel="00000000" w:rsidR="00000000" w:rsidRPr="00000000">
        <w:rPr>
          <w:rtl w:val="0"/>
        </w:rPr>
        <w:t xml:space="preserve"> MFF-ClassificationNet reports 98.30% (40×), 97.62% (100×), 98.81% (200×), 96.07% (400×), and 97.50% on the BACH dataset.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ar5w9ori0xhf" w:id="4"/>
      <w:bookmarkEnd w:id="4"/>
      <w:r w:rsidDel="00000000" w:rsidR="00000000" w:rsidRPr="00000000">
        <w:rPr>
          <w:b w:val="1"/>
          <w:bCs w:val="1"/>
          <w:color w:val="000000"/>
          <w:sz w:val="26"/>
          <w:szCs w:val="26"/>
          <w:rtl w:val="0"/>
        </w:rPr>
        <w:t xml:space="preserve">4. Sequential "Zoom-In" Networks (RNN / LSTM)</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Treats the four magnifications as a time-ordered sequence rather than parallel inputs, mimicking how a pathologist zooms in step by step. A CNN extracts features from the 40× image first, feeding them into an LSTM (or Bi-LSTM) that maintains a memory state. As the model moves through 100×, 200×, and 400×, each new set of features is combined with the LSTM's accumulated memory, building an evolving understanding of the tumor layer by layer.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Representative Paper:</w:t>
      </w:r>
      <w:r w:rsidDel="00000000" w:rsidR="00000000" w:rsidRPr="00000000">
        <w:rPr>
          <w:rtl w:val="0"/>
        </w:rPr>
        <w:t xml:space="preserve"> Budak et al. — FCN encoder + Bi-LSTM.</w:t>
        <w:br w:type="textWrapping"/>
        <w:t xml:space="preserve"> "Computer-aided diagnosis system combining FCN and Bi-LSTM model for efficient breast cancer detection from histopathological images," </w:t>
      </w:r>
      <w:r w:rsidDel="00000000" w:rsidR="00000000" w:rsidRPr="00000000">
        <w:rPr>
          <w:i w:val="1"/>
          <w:iCs w:val="1"/>
          <w:rtl w:val="0"/>
        </w:rPr>
        <w:t xml:space="preserve">Applied Soft Computing</w:t>
      </w:r>
      <w:r w:rsidDel="00000000" w:rsidR="00000000" w:rsidRPr="00000000">
        <w:rPr>
          <w:rtl w:val="0"/>
        </w:rPr>
        <w:t xml:space="preserve">, 2019.</w:t>
        <w:br w:type="textWrapping"/>
        <w:t xml:space="preserve"> Link:</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https://www.sciencedirect.com/science/article/abs/pii/S1568494619305460</w:t>
          <w:br w:type="textWrapping"/>
        </w:r>
      </w:hyperlink>
      <w:r w:rsidDel="00000000" w:rsidR="00000000" w:rsidRPr="00000000">
        <w:rPr>
          <w:rtl w:val="0"/>
        </w:rPr>
        <w:t xml:space="preserve"> DOI: 10.1016/j.asoc.2019.105765</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Results:</w:t>
      </w:r>
      <w:r w:rsidDel="00000000" w:rsidR="00000000" w:rsidRPr="00000000">
        <w:rPr>
          <w:rtl w:val="0"/>
        </w:rPr>
        <w:t xml:space="preserve"> Peak accuracy of ~98.2% at 40× magnification.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skemw3nwj17" w:id="5"/>
      <w:bookmarkEnd w:id="5"/>
      <w:r w:rsidDel="00000000" w:rsidR="00000000" w:rsidRPr="00000000">
        <w:rPr>
          <w:b w:val="1"/>
          <w:bCs w:val="1"/>
          <w:color w:val="000000"/>
          <w:sz w:val="26"/>
          <w:szCs w:val="26"/>
          <w:rtl w:val="0"/>
        </w:rPr>
        <w:t xml:space="preserve">5. Graph Neural Networks (GNN)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Represents tissue as a graph rather than a pixel grid. Nuclei or cell clusters identified at high magnification (400×) become nodes; edges connect them to the broader tissue regions seen at lower magnification (40×), encoding how microscopic structures relate to macro-level architecture. The network learns through "message passing," where each node updates its representation using information from connected neighbors — a structure that's naturally robust to spatial misalignment between magnification levels.</w:t>
      </w:r>
    </w:p>
    <w:p w:rsidR="00000000" w:rsidDel="00000000" w:rsidP="00000000" w:rsidRDefault="00000000" w:rsidRPr="00000000" w14:paraId="0000001A">
      <w:pPr>
        <w:spacing w:after="240" w:before="240" w:lineRule="auto"/>
        <w:rPr>
          <w:color w:val="1155cc"/>
          <w:u w:val="single"/>
        </w:rPr>
      </w:pPr>
      <w:r w:rsidDel="00000000" w:rsidR="00000000" w:rsidRPr="00000000">
        <w:rPr>
          <w:b w:val="1"/>
          <w:bCs w:val="1"/>
          <w:rtl w:val="0"/>
        </w:rPr>
        <w:t xml:space="preserve">Representative Paper:</w:t>
      </w:r>
      <w:r w:rsidDel="00000000" w:rsidR="00000000" w:rsidRPr="00000000">
        <w:rPr>
          <w:rtl w:val="0"/>
        </w:rPr>
        <w:t xml:space="preserve"> MS-GWNN — multi-scale graph wavelet neural network for breast cancer diagnosis, evaluated on BACH and BreaKHis.</w:t>
        <w:br w:type="textWrapping"/>
        <w:t xml:space="preserve"> Referenced in: "A Survey on Graph-Based Deep Learning for Computational Histopathology"</w:t>
        <w:br w:type="textWrapping"/>
        <w:t xml:space="preserve"> Link:</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https://arxiv.org/pdf/2107.00272</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r w:rsidDel="00000000" w:rsidR="00000000" w:rsidRPr="00000000">
        <w:rPr>
          <w:b w:val="1"/>
          <w:bCs w:val="1"/>
          <w:rtl w:val="0"/>
        </w:rPr>
        <w:t xml:space="preserve">Additional paper:</w:t>
      </w:r>
      <w:r w:rsidDel="00000000" w:rsidR="00000000" w:rsidRPr="00000000">
        <w:rPr>
          <w:rtl w:val="0"/>
        </w:rPr>
        <w:t xml:space="preserve"> Foundation-model-feature GNN, directly benchmarked on BreaKHis.</w:t>
        <w:br w:type="textWrapping"/>
        <w:t xml:space="preserve"> "Integrating Foundation Model Features into Graph Neural Network and Fusing Predictions with Standard Fine-Tuned Models for Histology Image Classification," </w:t>
      </w:r>
      <w:r w:rsidDel="00000000" w:rsidR="00000000" w:rsidRPr="00000000">
        <w:rPr>
          <w:i w:val="1"/>
          <w:iCs w:val="1"/>
          <w:rtl w:val="0"/>
        </w:rPr>
        <w:t xml:space="preserve">Bioengineering</w:t>
      </w:r>
      <w:r w:rsidDel="00000000" w:rsidR="00000000" w:rsidRPr="00000000">
        <w:rPr>
          <w:rtl w:val="0"/>
        </w:rPr>
        <w:t xml:space="preserve">, 2025.</w:t>
        <w:br w:type="textWrapping"/>
        <w:t xml:space="preserve"> Link:</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https://doi.org/10.3390/bioengineering12121332</w:t>
        </w:r>
      </w:hyperlink>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Results:</w:t>
      </w:r>
      <w:r w:rsidDel="00000000" w:rsidR="00000000" w:rsidRPr="00000000">
        <w:rPr>
          <w:rtl w:val="0"/>
        </w:rPr>
        <w:t xml:space="preserve"> F1 = 98.28%, balanced accuracy = 97.50% on BreaKHis, with the added benefit of interpretability — showing which cell clusters drove a diagnosis.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7057zgb54av" w:id="6"/>
      <w:bookmarkEnd w:id="6"/>
      <w:r w:rsidDel="00000000" w:rsidR="00000000" w:rsidRPr="00000000">
        <w:rPr>
          <w:b w:val="1"/>
          <w:bCs w:val="1"/>
          <w:color w:val="000000"/>
          <w:sz w:val="26"/>
          <w:szCs w:val="26"/>
          <w:rtl w:val="0"/>
        </w:rPr>
        <w:t xml:space="preserve">6. Contrastive Learning (Self-Supervised)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Trains the model without labels by playing a matching game — embeddings from related images (e.g., different magnifications of the same patient) are pulled together in feature space, while embeddings from unrelated patients are pushed apart. This forces the network to learn the underlying biological connection between zoom levels before ever being told which images are cancerous, producing a strong representation that needs far fewer labels to fine-tune later.</w:t>
      </w:r>
    </w:p>
    <w:p w:rsidR="00000000" w:rsidDel="00000000" w:rsidP="00000000" w:rsidRDefault="00000000" w:rsidRPr="00000000" w14:paraId="00000020">
      <w:pPr>
        <w:spacing w:after="240" w:before="240" w:lineRule="auto"/>
        <w:rPr>
          <w:color w:val="1155cc"/>
          <w:u w:val="single"/>
        </w:rPr>
      </w:pPr>
      <w:r w:rsidDel="00000000" w:rsidR="00000000" w:rsidRPr="00000000">
        <w:rPr>
          <w:b w:val="1"/>
          <w:bCs w:val="1"/>
          <w:rtl w:val="0"/>
        </w:rPr>
        <w:t xml:space="preserve">Representative Paper:</w:t>
      </w:r>
      <w:r w:rsidDel="00000000" w:rsidR="00000000" w:rsidRPr="00000000">
        <w:rPr>
          <w:rtl w:val="0"/>
        </w:rPr>
        <w:t xml:space="preserve"> MPCS — Magnification Prior Contrastive Similarity.</w:t>
        <w:br w:type="textWrapping"/>
        <w:t xml:space="preserve"> "Magnification Prior: A Self-Supervised Method for Learning Representations on Breast Cancer Histopathological Images," arXiv, 2022.</w:t>
        <w:br w:type="textWrapping"/>
        <w:t xml:space="preserve"> Link:</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https://arxiv.org/abs/2203.07707</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Results:</w:t>
      </w:r>
      <w:r w:rsidDel="00000000" w:rsidR="00000000" w:rsidRPr="00000000">
        <w:rPr>
          <w:rtl w:val="0"/>
        </w:rPr>
        <w:t xml:space="preserve"> Matches fully supervised state-of-the-art performance using only 20% of labels for fine-tuning, and outperforms prior fully supervised methods on BreaKHis and other breast cancer datasets.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wm3f4qi8p0rk" w:id="7"/>
      <w:bookmarkEnd w:id="7"/>
      <w:r w:rsidDel="00000000" w:rsidR="00000000" w:rsidRPr="00000000">
        <w:rPr>
          <w:b w:val="1"/>
          <w:bCs w:val="1"/>
          <w:color w:val="000000"/>
          <w:sz w:val="26"/>
          <w:szCs w:val="26"/>
          <w:rtl w:val="0"/>
        </w:rPr>
        <w:t xml:space="preserve">7. Knowledge Distillation (Teacher-Student)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Methodology:</w:t>
      </w:r>
      <w:r w:rsidDel="00000000" w:rsidR="00000000" w:rsidRPr="00000000">
        <w:rPr>
          <w:rtl w:val="0"/>
        </w:rPr>
        <w:t xml:space="preserve"> A large "teacher" model is first trained using the full multi-branch approach across all four magnifications. A smaller "student" model, given only a single magnification, is then trained to replicate the teacher's predictions rather than learning from raw labels alone. This transfers the teacher's cross-magnification knowledge into a lightweight model that only ever sees one zoom level at inference time.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Representative Papers: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On-device KD (VGG/ResNeXt teachers → lightweight student)</w:t>
        <w:br w:type="textWrapping"/>
        <w:t xml:space="preserve"> Link:</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https://www.sciencedirect.com/science/article/abs/pii/S0010482522011842</w:t>
        </w:r>
      </w:hyperlink>
      <w:r w:rsidDel="00000000" w:rsidR="00000000" w:rsidRPr="00000000">
        <w:rPr>
          <w:rtl w:val="0"/>
        </w:rPr>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KDTViT — cross-magnification distillation (trained sequentially 40×→100×→200×→400×, each stage distilling into the next)</w:t>
        <w:br w:type="textWrapping"/>
        <w:t xml:space="preserve"> Link:</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https://pmc.ncbi.nlm.nih.gov/articles/PMC13333847/</w:t>
        </w:r>
      </w:hyperlink>
      <w:r w:rsidDel="00000000" w:rsidR="00000000" w:rsidRPr="00000000">
        <w:rPr>
          <w:rtl w:val="0"/>
        </w:rPr>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Decomposed feature-based KD (Tucker decomposition of teacher's intermediate layers)</w:t>
        <w:br w:type="textWrapping"/>
        <w:t xml:space="preserve"> Link:</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https://www.sciencedirect.com/science/article/abs/pii/S0010482522002050</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Results:</w:t>
      </w:r>
      <w:r w:rsidDel="00000000" w:rsidR="00000000" w:rsidRPr="00000000">
        <w:rPr>
          <w:rtl w:val="0"/>
        </w:rPr>
        <w:t xml:space="preserve"> The on-device KD student reached 97.09% accuracy with ~69M fewer parameters and a 268× compression rate versus its teacher. The decomposed feature-based KD student, trained only on 40× images, reached 99.41% / 99.26% / 99.14% / 99.09% across 40×, 100×, 200×, 400× on unseen samples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abs/pii/S1568494619305460" TargetMode="External"/><Relationship Id="rId22" Type="http://schemas.openxmlformats.org/officeDocument/2006/relationships/hyperlink" Target="https://arxiv.org/pdf/2107.00272" TargetMode="External"/><Relationship Id="rId21" Type="http://schemas.openxmlformats.org/officeDocument/2006/relationships/hyperlink" Target="https://www.sciencedirect.com/science/article/abs/pii/S1568494619305460" TargetMode="External"/><Relationship Id="rId24" Type="http://schemas.openxmlformats.org/officeDocument/2006/relationships/hyperlink" Target="https://doi.org/10.3390/bioengineering12121332" TargetMode="External"/><Relationship Id="rId23" Type="http://schemas.openxmlformats.org/officeDocument/2006/relationships/hyperlink" Target="https://arxiv.org/pdf/2107.002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pmc/articles/PMC11241245/" TargetMode="External"/><Relationship Id="rId26" Type="http://schemas.openxmlformats.org/officeDocument/2006/relationships/hyperlink" Target="https://arxiv.org/abs/2203.07707" TargetMode="External"/><Relationship Id="rId25" Type="http://schemas.openxmlformats.org/officeDocument/2006/relationships/hyperlink" Target="https://doi.org/10.3390/bioengineering12121332" TargetMode="External"/><Relationship Id="rId28" Type="http://schemas.openxmlformats.org/officeDocument/2006/relationships/hyperlink" Target="https://www.sciencedirect.com/science/article/abs/pii/S0010482522011842" TargetMode="External"/><Relationship Id="rId27" Type="http://schemas.openxmlformats.org/officeDocument/2006/relationships/hyperlink" Target="https://arxiv.org/abs/2203.07707" TargetMode="External"/><Relationship Id="rId5" Type="http://schemas.openxmlformats.org/officeDocument/2006/relationships/styles" Target="styles.xml"/><Relationship Id="rId6" Type="http://schemas.openxmlformats.org/officeDocument/2006/relationships/hyperlink" Target="https://www.ncbi.nlm.nih.gov/pmc/articles/PMC9146727/" TargetMode="External"/><Relationship Id="rId29" Type="http://schemas.openxmlformats.org/officeDocument/2006/relationships/hyperlink" Target="https://www.sciencedirect.com/science/article/abs/pii/S0010482522011842" TargetMode="External"/><Relationship Id="rId7" Type="http://schemas.openxmlformats.org/officeDocument/2006/relationships/hyperlink" Target="https://www.ncbi.nlm.nih.gov/pmc/articles/PMC9146727/" TargetMode="External"/><Relationship Id="rId8" Type="http://schemas.openxmlformats.org/officeDocument/2006/relationships/hyperlink" Target="https://www.ncbi.nlm.nih.gov/pmc/articles/PMC11241245/" TargetMode="External"/><Relationship Id="rId31" Type="http://schemas.openxmlformats.org/officeDocument/2006/relationships/hyperlink" Target="https://pmc.ncbi.nlm.nih.gov/articles/PMC13333847/" TargetMode="External"/><Relationship Id="rId30" Type="http://schemas.openxmlformats.org/officeDocument/2006/relationships/hyperlink" Target="https://pmc.ncbi.nlm.nih.gov/articles/PMC13333847/" TargetMode="External"/><Relationship Id="rId11" Type="http://schemas.openxmlformats.org/officeDocument/2006/relationships/hyperlink" Target="https://github.com/LamaAldakhil/ECSAnet" TargetMode="External"/><Relationship Id="rId33" Type="http://schemas.openxmlformats.org/officeDocument/2006/relationships/hyperlink" Target="https://www.sciencedirect.com/science/article/abs/pii/S0010482522002050" TargetMode="External"/><Relationship Id="rId10" Type="http://schemas.openxmlformats.org/officeDocument/2006/relationships/hyperlink" Target="https://github.com/LamaAldakhil/ECSAnet" TargetMode="External"/><Relationship Id="rId32" Type="http://schemas.openxmlformats.org/officeDocument/2006/relationships/hyperlink" Target="https://www.sciencedirect.com/science/article/abs/pii/S0010482522002050" TargetMode="External"/><Relationship Id="rId13" Type="http://schemas.openxmlformats.org/officeDocument/2006/relationships/hyperlink" Target="https://pmc.ncbi.nlm.nih.gov/articles/PMC10532552/" TargetMode="External"/><Relationship Id="rId12" Type="http://schemas.openxmlformats.org/officeDocument/2006/relationships/hyperlink" Target="https://pmc.ncbi.nlm.nih.gov/articles/PMC10532552/" TargetMode="External"/><Relationship Id="rId15" Type="http://schemas.openxmlformats.org/officeDocument/2006/relationships/hyperlink" Target="https://doi.org/10.3390/bios15110718" TargetMode="External"/><Relationship Id="rId14" Type="http://schemas.openxmlformats.org/officeDocument/2006/relationships/hyperlink" Target="https://doi.org/10.3390/bios15110718" TargetMode="External"/><Relationship Id="rId17" Type="http://schemas.openxmlformats.org/officeDocument/2006/relationships/hyperlink" Target="https://www.ncbi.nlm.nih.gov/pmc/articles/PMC12649981/" TargetMode="External"/><Relationship Id="rId16" Type="http://schemas.openxmlformats.org/officeDocument/2006/relationships/hyperlink" Target="https://www.ncbi.nlm.nih.gov/pmc/articles/PMC12649981/" TargetMode="External"/><Relationship Id="rId19" Type="http://schemas.openxmlformats.org/officeDocument/2006/relationships/hyperlink" Target="https://www.diva-portal.org/smash/get/diva2:1928341/FULLTEXT01.pdf" TargetMode="External"/><Relationship Id="rId18" Type="http://schemas.openxmlformats.org/officeDocument/2006/relationships/hyperlink" Target="https://www.diva-portal.org/smash/get/diva2:1928341/FULLTEXT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