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pBdr>
          <w:top w:val="single" w:sz="12" w:space="0" w:color="000000" w:shadow="1"/>
          <w:left w:val="single" w:sz="12" w:space="4" w:color="000000" w:shadow="1"/>
          <w:bottom w:val="single" w:sz="12" w:space="8" w:color="000000" w:shadow="1"/>
          <w:right w:val="single" w:sz="12" w:space="0" w:color="000000" w:shadow="1"/>
        </w:pBdr>
        <w:ind w:start="1843" w:end="2603"/>
        <w:rPr>
          <w:bCs/>
          <w:sz w:val="36"/>
          <w:szCs w:val="40"/>
        </w:rPr>
      </w:pPr>
      <w:r>
        <w:rPr>
          <w:bCs/>
          <w:sz w:val="36"/>
          <w:szCs w:val="40"/>
        </w:rPr>
        <w:t xml:space="preserve">PROTOCOLE D’ACCORD DE PREFINANCEMENT </w:t>
      </w:r>
    </w:p>
    <w:p>
      <w:pPr>
        <w:pStyle w:val="Heading"/>
        <w:pBdr>
          <w:top w:val="single" w:sz="12" w:space="0" w:color="000000" w:shadow="1"/>
          <w:left w:val="single" w:sz="12" w:space="4" w:color="000000" w:shadow="1"/>
          <w:bottom w:val="single" w:sz="12" w:space="8" w:color="000000" w:shadow="1"/>
          <w:right w:val="single" w:sz="12" w:space="0" w:color="000000" w:shadow="1"/>
        </w:pBdr>
        <w:ind w:start="1843" w:end="2603"/>
        <w:rPr>
          <w:bCs/>
          <w:sz w:val="36"/>
          <w:szCs w:val="40"/>
        </w:rPr>
      </w:pPr>
      <w:r>
        <w:rPr>
          <w:bCs/>
          <w:sz w:val="24"/>
          <w:szCs w:val="24"/>
        </w:rPr>
        <w:t>Ref : ECO-2…-PAP-001</w:t>
      </w:r>
    </w:p>
    <w:p>
      <w:pPr>
        <w:pStyle w:val="BodyText"/>
        <w:rPr>
          <w:rFonts w:ascii="Times New Roman" w:hAnsi="Times New Roman" w:cs="Times New Roman"/>
          <w:b/>
          <w:bCs/>
          <w:sz w:val="22"/>
          <w:szCs w:val="22"/>
        </w:rPr>
      </w:pPr>
      <w:r>
        <w:rPr>
          <w:rFonts w:cs="Times New Roman" w:ascii="Times New Roman" w:hAnsi="Times New Roman"/>
          <w:b/>
          <w:bCs/>
          <w:sz w:val="22"/>
          <w:szCs w:val="22"/>
        </w:rPr>
      </w:r>
    </w:p>
    <w:p>
      <w:pPr>
        <w:pStyle w:val="BodyText"/>
        <w:rPr>
          <w:rFonts w:ascii="Times New Roman" w:hAnsi="Times New Roman" w:cs="Times New Roman"/>
          <w:b/>
          <w:bCs/>
          <w:sz w:val="22"/>
          <w:szCs w:val="22"/>
        </w:rPr>
      </w:pPr>
      <w:r>
        <w:rPr>
          <w:rFonts w:cs="Times New Roman" w:ascii="Times New Roman" w:hAnsi="Times New Roman"/>
          <w:b/>
          <w:bCs/>
          <w:sz w:val="22"/>
          <w:szCs w:val="22"/>
        </w:rPr>
      </w:r>
    </w:p>
    <w:p>
      <w:pPr>
        <w:pStyle w:val="BodyText"/>
        <w:ind w:start="426" w:end="0"/>
        <w:rPr>
          <w:rFonts w:ascii="Times New Roman" w:hAnsi="Times New Roman" w:cs="Times New Roman"/>
          <w:sz w:val="22"/>
          <w:szCs w:val="22"/>
        </w:rPr>
      </w:pPr>
      <w:r>
        <w:rPr>
          <w:rFonts w:cs="Times New Roman" w:ascii="Times New Roman" w:hAnsi="Times New Roman"/>
          <w:sz w:val="22"/>
          <w:szCs w:val="22"/>
        </w:rPr>
        <w:t>Entre les soussignés</w:t>
      </w:r>
    </w:p>
    <w:p>
      <w:pPr>
        <w:pStyle w:val="BodyText"/>
        <w:ind w:start="426" w:end="0"/>
        <w:rPr>
          <w:rFonts w:ascii="Times New Roman" w:hAnsi="Times New Roman" w:cs="Times New Roman"/>
          <w:sz w:val="22"/>
          <w:szCs w:val="22"/>
        </w:rPr>
      </w:pPr>
      <w:r>
        <w:rPr>
          <w:rFonts w:cs="Times New Roman" w:ascii="Times New Roman" w:hAnsi="Times New Roman"/>
          <w:sz w:val="22"/>
          <w:szCs w:val="22"/>
        </w:rPr>
      </w:r>
    </w:p>
    <w:p>
      <w:pPr>
        <w:pStyle w:val="BodyText"/>
        <w:spacing w:lineRule="auto" w:line="276"/>
        <w:ind w:start="426" w:end="0"/>
        <w:rPr>
          <w:rFonts w:ascii="Times New Roman" w:hAnsi="Times New Roman" w:cs="Times New Roman"/>
          <w:sz w:val="22"/>
          <w:szCs w:val="22"/>
        </w:rPr>
      </w:pPr>
      <w:r>
        <w:rPr>
          <w:rFonts w:cs="Times New Roman" w:ascii="Times New Roman" w:hAnsi="Times New Roman"/>
          <w:sz w:val="22"/>
          <w:szCs w:val="22"/>
        </w:rPr>
        <w:t xml:space="preserve">La société </w:t>
      </w:r>
      <w:r>
        <w:rPr>
          <w:rFonts w:cs="Times New Roman" w:ascii="Times New Roman" w:hAnsi="Times New Roman"/>
          <w:b/>
          <w:bCs/>
          <w:sz w:val="22"/>
          <w:szCs w:val="22"/>
        </w:rPr>
        <w:t>Ecorigine SA</w:t>
      </w:r>
      <w:r>
        <w:rPr>
          <w:rFonts w:cs="Times New Roman" w:ascii="Times New Roman" w:hAnsi="Times New Roman"/>
          <w:sz w:val="22"/>
          <w:szCs w:val="22"/>
        </w:rPr>
        <w:t>, Exportateur agréé de café-cacao, sis à Treichville rue des galions zone portuaire, 17 BPM 749 Abidjan 17, représentée par son Administrateur Général M. KONE Ismael, ci-après désigné « </w:t>
      </w:r>
      <w:r>
        <w:rPr>
          <w:rFonts w:cs="Times New Roman" w:ascii="Times New Roman" w:hAnsi="Times New Roman"/>
          <w:b/>
          <w:bCs/>
          <w:sz w:val="22"/>
          <w:szCs w:val="22"/>
        </w:rPr>
        <w:t>L’Exportateur ou Ecorigine</w:t>
      </w:r>
      <w:r>
        <w:rPr>
          <w:rFonts w:cs="Times New Roman" w:ascii="Times New Roman" w:hAnsi="Times New Roman"/>
          <w:sz w:val="22"/>
          <w:szCs w:val="22"/>
        </w:rPr>
        <w:t> ».</w:t>
      </w:r>
    </w:p>
    <w:p>
      <w:pPr>
        <w:pStyle w:val="BodyText"/>
        <w:ind w:start="426" w:end="0"/>
        <w:rPr>
          <w:rFonts w:ascii="Times New Roman" w:hAnsi="Times New Roman" w:cs="Times New Roman"/>
          <w:sz w:val="22"/>
          <w:szCs w:val="22"/>
        </w:rPr>
      </w:pPr>
      <w:r>
        <w:rPr>
          <w:rFonts w:cs="Times New Roman" w:ascii="Times New Roman" w:hAnsi="Times New Roman"/>
          <w:sz w:val="22"/>
          <w:szCs w:val="22"/>
        </w:rPr>
      </w:r>
    </w:p>
    <w:p>
      <w:pPr>
        <w:pStyle w:val="BodyText"/>
        <w:ind w:start="426" w:end="0"/>
        <w:rPr>
          <w:rFonts w:ascii="Times New Roman" w:hAnsi="Times New Roman" w:cs="Times New Roman"/>
          <w:sz w:val="22"/>
          <w:szCs w:val="22"/>
        </w:rPr>
      </w:pPr>
      <w:r>
        <w:rPr>
          <w:rFonts w:cs="Times New Roman" w:ascii="Times New Roman" w:hAnsi="Times New Roman"/>
          <w:sz w:val="22"/>
          <w:szCs w:val="22"/>
        </w:rPr>
        <w:t>D’une part</w:t>
      </w:r>
    </w:p>
    <w:p>
      <w:pPr>
        <w:pStyle w:val="BodyText"/>
        <w:ind w:start="426" w:end="0"/>
        <w:rPr>
          <w:rFonts w:ascii="Times New Roman" w:hAnsi="Times New Roman" w:cs="Times New Roman"/>
          <w:sz w:val="22"/>
          <w:szCs w:val="22"/>
        </w:rPr>
      </w:pPr>
      <w:r>
        <w:rPr>
          <w:rFonts w:cs="Times New Roman" w:ascii="Times New Roman" w:hAnsi="Times New Roman"/>
          <w:sz w:val="22"/>
          <w:szCs w:val="22"/>
        </w:rPr>
      </w:r>
    </w:p>
    <w:p>
      <w:pPr>
        <w:pStyle w:val="BodyText"/>
        <w:ind w:start="426" w:end="0"/>
        <w:rPr>
          <w:rFonts w:ascii="Times New Roman" w:hAnsi="Times New Roman" w:cs="Times New Roman"/>
          <w:sz w:val="22"/>
          <w:szCs w:val="22"/>
        </w:rPr>
      </w:pPr>
      <w:r>
        <w:rPr>
          <w:rFonts w:cs="Times New Roman" w:ascii="Times New Roman" w:hAnsi="Times New Roman"/>
          <w:sz w:val="22"/>
          <w:szCs w:val="22"/>
        </w:rPr>
        <w:t>Et</w:t>
      </w:r>
    </w:p>
    <w:p>
      <w:pPr>
        <w:pStyle w:val="BodyText"/>
        <w:ind w:start="426" w:end="0"/>
        <w:rPr>
          <w:rFonts w:ascii="Times New Roman" w:hAnsi="Times New Roman" w:cs="Times New Roman"/>
          <w:sz w:val="22"/>
          <w:szCs w:val="22"/>
        </w:rPr>
      </w:pPr>
      <w:r>
        <w:rPr>
          <w:rFonts w:cs="Times New Roman" w:ascii="Times New Roman" w:hAnsi="Times New Roman"/>
          <w:sz w:val="22"/>
          <w:szCs w:val="22"/>
        </w:rPr>
      </w:r>
    </w:p>
    <w:p>
      <w:pPr>
        <w:pStyle w:val="Retraitcorpsdetexte2"/>
        <w:spacing w:lineRule="auto" w:line="276"/>
        <w:ind w:start="426" w:end="0"/>
        <w:jc w:val="both"/>
        <w:rPr/>
      </w:pPr>
      <w:r>
        <w:rPr>
          <w:sz w:val="22"/>
          <w:szCs w:val="22"/>
        </w:rPr>
        <w:t xml:space="preserve">La Société Coopérative </w:t>
      </w:r>
      <w:r>
        <w:rPr>
          <w:b/>
          <w:bCs/>
          <w:sz w:val="22"/>
          <w:szCs w:val="22"/>
          <w:highlight w:val="yellow"/>
        </w:rPr>
        <w:t>…</w:t>
      </w:r>
      <w:r>
        <w:rPr>
          <w:sz w:val="22"/>
          <w:szCs w:val="22"/>
        </w:rPr>
        <w:t xml:space="preserve"> sise à </w:t>
      </w:r>
      <w:r>
        <w:rPr>
          <w:sz w:val="22"/>
          <w:szCs w:val="22"/>
          <w:highlight w:val="yellow"/>
        </w:rPr>
        <w:t>…</w:t>
      </w:r>
      <w:r>
        <w:rPr>
          <w:sz w:val="22"/>
          <w:szCs w:val="22"/>
        </w:rPr>
        <w:t xml:space="preserve">, agréé sous les codes du Conseil Café-Cacao </w:t>
      </w:r>
      <w:r>
        <w:rPr>
          <w:b/>
          <w:bCs/>
          <w:sz w:val="22"/>
          <w:szCs w:val="22"/>
        </w:rPr>
        <w:t>SC</w:t>
      </w:r>
      <w:r>
        <w:rPr>
          <w:b/>
          <w:bCs/>
          <w:sz w:val="22"/>
          <w:szCs w:val="22"/>
          <w:highlight w:val="yellow"/>
        </w:rPr>
        <w:t>…</w:t>
      </w:r>
      <w:r>
        <w:rPr>
          <w:sz w:val="22"/>
          <w:szCs w:val="22"/>
        </w:rPr>
        <w:t xml:space="preserve"> représenté par son président du Conseil d’Administration, Monsieur </w:t>
      </w:r>
      <w:r>
        <w:rPr>
          <w:sz w:val="22"/>
          <w:szCs w:val="22"/>
          <w:highlight w:val="yellow"/>
        </w:rPr>
        <w:t>…</w:t>
      </w:r>
      <w:r>
        <w:rPr>
          <w:sz w:val="22"/>
          <w:szCs w:val="22"/>
        </w:rPr>
        <w:t xml:space="preserve">, nationalité </w:t>
      </w:r>
      <w:r>
        <w:rPr>
          <w:sz w:val="22"/>
          <w:szCs w:val="22"/>
          <w:highlight w:val="yellow"/>
        </w:rPr>
        <w:t>…</w:t>
      </w:r>
      <w:r>
        <w:rPr>
          <w:sz w:val="22"/>
          <w:szCs w:val="22"/>
        </w:rPr>
        <w:t xml:space="preserve">, né le </w:t>
      </w:r>
      <w:r>
        <w:rPr>
          <w:sz w:val="22"/>
          <w:szCs w:val="22"/>
          <w:highlight w:val="yellow"/>
        </w:rPr>
        <w:t>../../1…</w:t>
      </w:r>
      <w:r>
        <w:rPr>
          <w:sz w:val="22"/>
          <w:szCs w:val="22"/>
        </w:rPr>
        <w:t xml:space="preserve"> à </w:t>
      </w:r>
      <w:r>
        <w:rPr>
          <w:sz w:val="22"/>
          <w:szCs w:val="22"/>
          <w:highlight w:val="yellow"/>
        </w:rPr>
        <w:t>…</w:t>
      </w:r>
      <w:r>
        <w:rPr>
          <w:sz w:val="22"/>
          <w:szCs w:val="22"/>
        </w:rPr>
        <w:t xml:space="preserve"> (…), titulaire de la CNI N</w:t>
      </w:r>
      <w:r>
        <w:rPr>
          <w:sz w:val="22"/>
          <w:szCs w:val="22"/>
          <w:highlight w:val="yellow"/>
        </w:rPr>
        <w:t xml:space="preserve">° </w:t>
      </w:r>
      <w:r>
        <w:rPr>
          <w:b/>
          <w:bCs/>
          <w:sz w:val="22"/>
          <w:szCs w:val="22"/>
          <w:highlight w:val="yellow"/>
        </w:rPr>
        <w:t>…</w:t>
      </w:r>
      <w:r>
        <w:rPr>
          <w:b/>
          <w:bCs/>
          <w:sz w:val="22"/>
          <w:szCs w:val="22"/>
        </w:rPr>
        <w:t xml:space="preserve"> </w:t>
      </w:r>
      <w:r>
        <w:rPr>
          <w:sz w:val="22"/>
          <w:szCs w:val="22"/>
        </w:rPr>
        <w:t xml:space="preserve">de profession </w:t>
      </w:r>
      <w:r>
        <w:rPr>
          <w:sz w:val="22"/>
          <w:szCs w:val="22"/>
          <w:highlight w:val="yellow"/>
        </w:rPr>
        <w:t>…</w:t>
      </w:r>
      <w:r>
        <w:rPr>
          <w:sz w:val="22"/>
          <w:szCs w:val="22"/>
        </w:rPr>
        <w:t xml:space="preserve">, domicilié à </w:t>
      </w:r>
      <w:r>
        <w:rPr>
          <w:sz w:val="22"/>
          <w:szCs w:val="22"/>
          <w:highlight w:val="yellow"/>
        </w:rPr>
        <w:t>…</w:t>
      </w:r>
      <w:r>
        <w:rPr>
          <w:sz w:val="22"/>
          <w:szCs w:val="22"/>
        </w:rPr>
        <w:t>, ci-après désigné « </w:t>
      </w:r>
      <w:r>
        <w:rPr>
          <w:b/>
          <w:bCs/>
          <w:sz w:val="22"/>
          <w:szCs w:val="22"/>
        </w:rPr>
        <w:t>Le Fournisseur</w:t>
      </w:r>
      <w:r>
        <w:rPr>
          <w:sz w:val="22"/>
          <w:szCs w:val="22"/>
        </w:rPr>
        <w:t xml:space="preserve"> »,    </w:t>
      </w:r>
    </w:p>
    <w:p>
      <w:pPr>
        <w:pStyle w:val="BodyText"/>
        <w:ind w:start="426" w:end="0"/>
        <w:rPr>
          <w:rFonts w:ascii="Times New Roman" w:hAnsi="Times New Roman" w:cs="Times New Roman"/>
          <w:sz w:val="22"/>
          <w:szCs w:val="22"/>
        </w:rPr>
      </w:pPr>
      <w:r>
        <w:rPr>
          <w:rFonts w:cs="Times New Roman" w:ascii="Times New Roman" w:hAnsi="Times New Roman"/>
          <w:sz w:val="22"/>
          <w:szCs w:val="22"/>
        </w:rPr>
      </w:r>
    </w:p>
    <w:p>
      <w:pPr>
        <w:pStyle w:val="BodyText"/>
        <w:tabs>
          <w:tab w:val="clear" w:pos="708"/>
          <w:tab w:val="left" w:pos="9931" w:leader="none"/>
        </w:tabs>
        <w:ind w:start="426" w:end="0"/>
        <w:rPr>
          <w:rFonts w:ascii="Times New Roman" w:hAnsi="Times New Roman" w:cs="Times New Roman"/>
          <w:sz w:val="22"/>
          <w:szCs w:val="22"/>
        </w:rPr>
      </w:pPr>
      <w:r>
        <w:rPr>
          <w:rFonts w:cs="Times New Roman" w:ascii="Times New Roman" w:hAnsi="Times New Roman"/>
          <w:sz w:val="22"/>
          <w:szCs w:val="22"/>
        </w:rPr>
        <w:t>D’autre part</w:t>
      </w:r>
    </w:p>
    <w:p>
      <w:pPr>
        <w:pStyle w:val="Normal"/>
        <w:ind w:start="426" w:end="0"/>
        <w:jc w:val="both"/>
        <w:rPr>
          <w:rFonts w:ascii="Times New Roman" w:hAnsi="Times New Roman" w:cs="Times New Roman"/>
          <w:sz w:val="22"/>
          <w:szCs w:val="22"/>
        </w:rPr>
      </w:pPr>
      <w:r>
        <w:rPr>
          <w:rFonts w:cs="Times New Roman"/>
          <w:sz w:val="22"/>
          <w:szCs w:val="22"/>
        </w:rPr>
      </w:r>
    </w:p>
    <w:p>
      <w:pPr>
        <w:pStyle w:val="Normal"/>
        <w:tabs>
          <w:tab w:val="clear" w:pos="708"/>
          <w:tab w:val="right" w:pos="9639" w:leader="none"/>
        </w:tabs>
        <w:ind w:start="426" w:end="0"/>
        <w:jc w:val="both"/>
        <w:rPr>
          <w:sz w:val="22"/>
          <w:szCs w:val="22"/>
        </w:rPr>
      </w:pPr>
      <w:r>
        <w:rPr>
          <w:sz w:val="22"/>
          <w:szCs w:val="22"/>
        </w:rPr>
        <w:t>Il a été convenu ce qui suit :</w:t>
        <w:tab/>
      </w:r>
    </w:p>
    <w:p>
      <w:pPr>
        <w:pStyle w:val="Normal"/>
        <w:jc w:val="both"/>
        <w:rPr>
          <w:b/>
          <w:bCs/>
          <w:sz w:val="22"/>
          <w:szCs w:val="22"/>
        </w:rPr>
      </w:pPr>
      <w:r>
        <w:rPr>
          <w:b/>
          <w:bCs/>
          <w:sz w:val="22"/>
          <w:szCs w:val="22"/>
        </w:rPr>
      </w:r>
    </w:p>
    <w:p>
      <w:pPr>
        <w:pStyle w:val="Heading4"/>
        <w:rPr>
          <w:rFonts w:ascii="Times New Roman" w:hAnsi="Times New Roman" w:cs="Times New Roman"/>
          <w:sz w:val="22"/>
          <w:szCs w:val="22"/>
        </w:rPr>
      </w:pPr>
      <w:r>
        <w:rPr>
          <w:rFonts w:cs="Times New Roman" w:ascii="Times New Roman" w:hAnsi="Times New Roman"/>
          <w:sz w:val="22"/>
          <w:szCs w:val="22"/>
        </w:rPr>
        <w:t>Article 1 – Préambule</w:t>
      </w:r>
    </w:p>
    <w:p>
      <w:pPr>
        <w:pStyle w:val="Normal"/>
        <w:ind w:start="360" w:end="0"/>
        <w:jc w:val="both"/>
        <w:rPr>
          <w:rFonts w:ascii="Times New Roman" w:hAnsi="Times New Roman" w:cs="Times New Roman"/>
          <w:sz w:val="22"/>
          <w:szCs w:val="22"/>
        </w:rPr>
      </w:pPr>
      <w:r>
        <w:rPr>
          <w:rFonts w:cs="Times New Roman"/>
          <w:sz w:val="22"/>
          <w:szCs w:val="22"/>
        </w:rPr>
      </w:r>
    </w:p>
    <w:p>
      <w:pPr>
        <w:pStyle w:val="Normal"/>
        <w:ind w:start="360" w:end="0"/>
        <w:jc w:val="both"/>
        <w:rPr/>
      </w:pPr>
      <w:r>
        <w:rPr>
          <w:sz w:val="22"/>
          <w:szCs w:val="22"/>
        </w:rPr>
        <w:t>Dans le souci d’assurer ses approvisionnements en fèves de cacao pour la campagne 2</w:t>
      </w:r>
      <w:r>
        <w:rPr>
          <w:sz w:val="22"/>
          <w:szCs w:val="22"/>
          <w:highlight w:val="yellow"/>
        </w:rPr>
        <w:t>…</w:t>
      </w:r>
      <w:r>
        <w:rPr>
          <w:sz w:val="22"/>
          <w:szCs w:val="22"/>
        </w:rPr>
        <w:t>/2</w:t>
      </w:r>
      <w:r>
        <w:rPr>
          <w:sz w:val="22"/>
          <w:szCs w:val="22"/>
          <w:highlight w:val="yellow"/>
        </w:rPr>
        <w:t>…</w:t>
      </w:r>
      <w:r>
        <w:rPr>
          <w:sz w:val="22"/>
          <w:szCs w:val="22"/>
        </w:rPr>
        <w:t>, « </w:t>
      </w:r>
      <w:r>
        <w:rPr>
          <w:b/>
          <w:bCs/>
          <w:sz w:val="22"/>
          <w:szCs w:val="22"/>
        </w:rPr>
        <w:t xml:space="preserve">Ecorigine » </w:t>
      </w:r>
      <w:r>
        <w:rPr>
          <w:sz w:val="22"/>
          <w:szCs w:val="22"/>
        </w:rPr>
        <w:t>a décidé d’octroyer un financement à des fournisseurs, dont « </w:t>
      </w:r>
      <w:r>
        <w:rPr>
          <w:b/>
          <w:bCs/>
          <w:sz w:val="22"/>
          <w:szCs w:val="22"/>
        </w:rPr>
        <w:t>Le Fournisseur »</w:t>
      </w:r>
      <w:r>
        <w:rPr>
          <w:sz w:val="22"/>
          <w:szCs w:val="22"/>
        </w:rPr>
        <w:t>, pour l’achat de fèves de cacao.</w:t>
      </w:r>
    </w:p>
    <w:p>
      <w:pPr>
        <w:pStyle w:val="Heading4"/>
        <w:rPr>
          <w:rFonts w:ascii="Times New Roman" w:hAnsi="Times New Roman" w:cs="Times New Roman"/>
          <w:sz w:val="22"/>
          <w:szCs w:val="22"/>
        </w:rPr>
      </w:pPr>
      <w:r>
        <w:rPr>
          <w:rFonts w:cs="Times New Roman" w:ascii="Times New Roman" w:hAnsi="Times New Roman"/>
          <w:sz w:val="22"/>
          <w:szCs w:val="22"/>
        </w:rPr>
      </w:r>
    </w:p>
    <w:p>
      <w:pPr>
        <w:pStyle w:val="Heading4"/>
        <w:rPr>
          <w:rFonts w:ascii="Times New Roman" w:hAnsi="Times New Roman" w:cs="Times New Roman"/>
          <w:sz w:val="22"/>
          <w:szCs w:val="22"/>
        </w:rPr>
      </w:pPr>
      <w:r>
        <w:rPr>
          <w:rFonts w:cs="Times New Roman" w:ascii="Times New Roman" w:hAnsi="Times New Roman"/>
          <w:sz w:val="22"/>
          <w:szCs w:val="22"/>
        </w:rPr>
        <w:t>Article 2 – Objet</w:t>
      </w:r>
    </w:p>
    <w:p>
      <w:pPr>
        <w:pStyle w:val="Normal"/>
        <w:ind w:start="360" w:end="0"/>
        <w:jc w:val="both"/>
        <w:rPr>
          <w:rFonts w:ascii="Times New Roman" w:hAnsi="Times New Roman" w:cs="Times New Roman"/>
          <w:b/>
          <w:bCs/>
          <w:sz w:val="22"/>
          <w:szCs w:val="22"/>
          <w:u w:val="single"/>
        </w:rPr>
      </w:pPr>
      <w:r>
        <w:rPr>
          <w:rFonts w:cs="Times New Roman"/>
          <w:b/>
          <w:bCs/>
          <w:sz w:val="22"/>
          <w:szCs w:val="22"/>
          <w:u w:val="single"/>
        </w:rPr>
      </w:r>
    </w:p>
    <w:p>
      <w:pPr>
        <w:pStyle w:val="Retraitcorpsdetexte2"/>
        <w:jc w:val="both"/>
        <w:rPr/>
      </w:pPr>
      <w:r>
        <w:rPr>
          <w:sz w:val="22"/>
          <w:szCs w:val="22"/>
        </w:rPr>
        <w:t>Le présent protocole a pour objet de définir et d’arrêter les modalités d’octroi et de remboursement du financement mis en place par « </w:t>
      </w:r>
      <w:r>
        <w:rPr>
          <w:b/>
          <w:bCs/>
          <w:sz w:val="22"/>
          <w:szCs w:val="22"/>
        </w:rPr>
        <w:t>L’Exportateur</w:t>
      </w:r>
      <w:r>
        <w:rPr>
          <w:sz w:val="22"/>
          <w:szCs w:val="22"/>
        </w:rPr>
        <w:t xml:space="preserve"> » au profit de « </w:t>
      </w:r>
      <w:r>
        <w:rPr>
          <w:b/>
          <w:bCs/>
          <w:sz w:val="22"/>
          <w:szCs w:val="22"/>
        </w:rPr>
        <w:t>Le Fournisseur</w:t>
      </w:r>
      <w:r>
        <w:rPr>
          <w:sz w:val="22"/>
          <w:szCs w:val="22"/>
        </w:rPr>
        <w:t xml:space="preserve"> ».</w:t>
      </w:r>
    </w:p>
    <w:p>
      <w:pPr>
        <w:pStyle w:val="Retraitcorpsdetexte2"/>
        <w:jc w:val="both"/>
        <w:rPr>
          <w:sz w:val="22"/>
          <w:szCs w:val="22"/>
        </w:rPr>
      </w:pPr>
      <w:r>
        <w:rPr>
          <w:sz w:val="22"/>
          <w:szCs w:val="22"/>
        </w:rPr>
      </w:r>
    </w:p>
    <w:p>
      <w:pPr>
        <w:pStyle w:val="Heading4"/>
        <w:rPr>
          <w:rFonts w:ascii="Times New Roman" w:hAnsi="Times New Roman" w:cs="Times New Roman"/>
          <w:sz w:val="22"/>
          <w:szCs w:val="22"/>
        </w:rPr>
      </w:pPr>
      <w:r>
        <w:rPr>
          <w:rFonts w:cs="Times New Roman" w:ascii="Times New Roman" w:hAnsi="Times New Roman"/>
          <w:sz w:val="22"/>
          <w:szCs w:val="22"/>
        </w:rPr>
        <w:t>Article 3 – Financement</w:t>
      </w:r>
    </w:p>
    <w:p>
      <w:pPr>
        <w:pStyle w:val="Normal"/>
        <w:ind w:start="360" w:end="0"/>
        <w:jc w:val="both"/>
        <w:rPr>
          <w:rFonts w:ascii="Times New Roman" w:hAnsi="Times New Roman" w:cs="Times New Roman"/>
          <w:b/>
          <w:bCs/>
          <w:sz w:val="22"/>
          <w:szCs w:val="22"/>
          <w:u w:val="single"/>
        </w:rPr>
      </w:pPr>
      <w:r>
        <w:rPr>
          <w:rFonts w:cs="Times New Roman"/>
          <w:b/>
          <w:bCs/>
          <w:sz w:val="22"/>
          <w:szCs w:val="22"/>
          <w:u w:val="single"/>
        </w:rPr>
      </w:r>
    </w:p>
    <w:p>
      <w:pPr>
        <w:pStyle w:val="Normal"/>
        <w:ind w:start="360" w:end="0"/>
        <w:jc w:val="both"/>
        <w:rPr>
          <w:sz w:val="22"/>
          <w:szCs w:val="22"/>
        </w:rPr>
      </w:pPr>
      <w:r>
        <w:rPr>
          <w:sz w:val="22"/>
          <w:szCs w:val="22"/>
        </w:rPr>
        <w:t>Le financement mis en place par « </w:t>
      </w:r>
      <w:r>
        <w:rPr>
          <w:b/>
          <w:bCs/>
          <w:sz w:val="22"/>
          <w:szCs w:val="22"/>
        </w:rPr>
        <w:t>L’Exportateur</w:t>
      </w:r>
      <w:r>
        <w:rPr>
          <w:sz w:val="22"/>
          <w:szCs w:val="22"/>
        </w:rPr>
        <w:t xml:space="preserve"> » est de type </w:t>
      </w:r>
      <w:r>
        <w:rPr>
          <w:b/>
          <w:bCs/>
          <w:sz w:val="22"/>
          <w:szCs w:val="22"/>
        </w:rPr>
        <w:t>Revolving</w:t>
      </w:r>
      <w:r>
        <w:rPr>
          <w:sz w:val="22"/>
          <w:szCs w:val="22"/>
        </w:rPr>
        <w:t xml:space="preserve"> qui prévoit le renouvellement du montant alloué, dès que « </w:t>
      </w:r>
      <w:r>
        <w:rPr>
          <w:b/>
          <w:bCs/>
          <w:sz w:val="22"/>
          <w:szCs w:val="22"/>
        </w:rPr>
        <w:t>Le Fournisseur</w:t>
      </w:r>
      <w:r>
        <w:rPr>
          <w:sz w:val="22"/>
          <w:szCs w:val="22"/>
        </w:rPr>
        <w:t xml:space="preserve"> » a livré en totalité la valeur de produit correspondant à l’avance reçue.</w:t>
      </w:r>
    </w:p>
    <w:p>
      <w:pPr>
        <w:pStyle w:val="Retraitcorpsdetexte2"/>
        <w:jc w:val="both"/>
        <w:rPr>
          <w:sz w:val="22"/>
          <w:szCs w:val="22"/>
        </w:rPr>
      </w:pPr>
      <w:r>
        <w:rPr>
          <w:sz w:val="22"/>
          <w:szCs w:val="22"/>
        </w:rPr>
      </w:r>
    </w:p>
    <w:p>
      <w:pPr>
        <w:pStyle w:val="Heading4"/>
        <w:rPr>
          <w:rFonts w:ascii="Times New Roman" w:hAnsi="Times New Roman" w:cs="Times New Roman"/>
          <w:sz w:val="22"/>
          <w:szCs w:val="22"/>
        </w:rPr>
      </w:pPr>
      <w:r>
        <w:rPr>
          <w:rFonts w:cs="Times New Roman" w:ascii="Times New Roman" w:hAnsi="Times New Roman"/>
          <w:sz w:val="22"/>
          <w:szCs w:val="22"/>
        </w:rPr>
        <w:t>Article 4 – Les obligations des parties</w:t>
      </w:r>
    </w:p>
    <w:p>
      <w:pPr>
        <w:pStyle w:val="Normal"/>
        <w:ind w:start="360" w:end="0"/>
        <w:jc w:val="both"/>
        <w:rPr>
          <w:b/>
          <w:bCs/>
          <w:sz w:val="22"/>
          <w:szCs w:val="22"/>
        </w:rPr>
      </w:pPr>
      <w:r>
        <w:rPr>
          <w:b/>
          <w:bCs/>
          <w:sz w:val="22"/>
          <w:szCs w:val="22"/>
        </w:rPr>
        <w:t xml:space="preserve"> </w:t>
      </w:r>
    </w:p>
    <w:p>
      <w:pPr>
        <w:pStyle w:val="Normal"/>
        <w:numPr>
          <w:ilvl w:val="1"/>
          <w:numId w:val="2"/>
        </w:numPr>
        <w:tabs>
          <w:tab w:val="clear" w:pos="708"/>
        </w:tabs>
        <w:ind w:hanging="360" w:start="709" w:end="0"/>
        <w:jc w:val="both"/>
        <w:rPr>
          <w:b/>
          <w:bCs/>
          <w:sz w:val="22"/>
          <w:szCs w:val="22"/>
        </w:rPr>
      </w:pPr>
      <w:r>
        <w:rPr>
          <w:b/>
          <w:bCs/>
          <w:sz w:val="22"/>
          <w:szCs w:val="22"/>
        </w:rPr>
        <w:t>« Le Fournisseur »</w:t>
      </w:r>
    </w:p>
    <w:p>
      <w:pPr>
        <w:pStyle w:val="Normal"/>
        <w:numPr>
          <w:ilvl w:val="2"/>
          <w:numId w:val="2"/>
        </w:numPr>
        <w:tabs>
          <w:tab w:val="clear" w:pos="708"/>
        </w:tabs>
        <w:ind w:hanging="720" w:start="1418" w:end="0"/>
        <w:jc w:val="both"/>
        <w:rPr>
          <w:b/>
          <w:bCs/>
          <w:sz w:val="22"/>
          <w:szCs w:val="22"/>
        </w:rPr>
      </w:pPr>
      <w:r>
        <w:rPr>
          <w:sz w:val="22"/>
          <w:szCs w:val="22"/>
        </w:rPr>
        <w:t>Livrer à «</w:t>
      </w:r>
      <w:r>
        <w:rPr>
          <w:b/>
          <w:bCs/>
          <w:sz w:val="22"/>
          <w:szCs w:val="22"/>
        </w:rPr>
        <w:t> L’Exportateur</w:t>
      </w:r>
      <w:r>
        <w:rPr>
          <w:sz w:val="22"/>
          <w:szCs w:val="22"/>
        </w:rPr>
        <w:t xml:space="preserve"> », du cacao marchand de qualité irréprochable et reconnue par ce dernier. « </w:t>
      </w:r>
      <w:r>
        <w:rPr>
          <w:b/>
          <w:bCs/>
          <w:sz w:val="22"/>
          <w:szCs w:val="22"/>
        </w:rPr>
        <w:t>Le Fournisseur</w:t>
      </w:r>
      <w:r>
        <w:rPr>
          <w:sz w:val="22"/>
          <w:szCs w:val="22"/>
        </w:rPr>
        <w:t xml:space="preserve"> » pourra à tout moment s’enquérir des normes qualité en vigueur auprès de «</w:t>
      </w:r>
      <w:r>
        <w:rPr>
          <w:b/>
          <w:bCs/>
          <w:sz w:val="22"/>
          <w:szCs w:val="22"/>
        </w:rPr>
        <w:t> L’Exportateur</w:t>
      </w:r>
      <w:r>
        <w:rPr>
          <w:sz w:val="22"/>
          <w:szCs w:val="22"/>
        </w:rPr>
        <w:t> » sans pouvoir prétendre n’avoir pas eu connaissance desdites normes de qualité.</w:t>
      </w:r>
    </w:p>
    <w:p>
      <w:pPr>
        <w:pStyle w:val="Normal"/>
        <w:numPr>
          <w:ilvl w:val="2"/>
          <w:numId w:val="2"/>
        </w:numPr>
        <w:tabs>
          <w:tab w:val="clear" w:pos="708"/>
        </w:tabs>
        <w:ind w:hanging="720" w:start="1418" w:end="0"/>
        <w:jc w:val="both"/>
        <w:rPr>
          <w:b/>
          <w:bCs/>
          <w:sz w:val="22"/>
          <w:szCs w:val="22"/>
          <w:highlight w:val="yellow"/>
        </w:rPr>
      </w:pPr>
      <w:r>
        <w:rPr>
          <w:sz w:val="22"/>
          <w:szCs w:val="22"/>
        </w:rPr>
        <w:t>Livrer à «</w:t>
      </w:r>
      <w:r>
        <w:rPr>
          <w:b/>
          <w:bCs/>
          <w:sz w:val="22"/>
          <w:szCs w:val="22"/>
        </w:rPr>
        <w:t> L’Exportateur</w:t>
      </w:r>
      <w:r>
        <w:rPr>
          <w:sz w:val="22"/>
          <w:szCs w:val="22"/>
        </w:rPr>
        <w:t xml:space="preserve"> », </w:t>
      </w:r>
      <w:r>
        <w:rPr>
          <w:b/>
          <w:bCs/>
          <w:sz w:val="22"/>
          <w:szCs w:val="22"/>
        </w:rPr>
        <w:t>dans le strict respect</w:t>
      </w:r>
      <w:r>
        <w:rPr>
          <w:sz w:val="22"/>
          <w:szCs w:val="22"/>
        </w:rPr>
        <w:t xml:space="preserve"> </w:t>
      </w:r>
      <w:r>
        <w:rPr>
          <w:b/>
          <w:bCs/>
          <w:sz w:val="22"/>
          <w:szCs w:val="22"/>
        </w:rPr>
        <w:t>des délais</w:t>
      </w:r>
      <w:r>
        <w:rPr>
          <w:sz w:val="22"/>
          <w:szCs w:val="22"/>
        </w:rPr>
        <w:t xml:space="preserve"> convenus à cet effet, l’ensemble des quantités correspondantes au financement reçu. Ce délai est porté à 10 jours à compter de la date de réception par « </w:t>
      </w:r>
      <w:r>
        <w:rPr>
          <w:b/>
          <w:bCs/>
          <w:sz w:val="22"/>
          <w:szCs w:val="22"/>
        </w:rPr>
        <w:t>Le Fournisseur</w:t>
      </w:r>
      <w:r>
        <w:rPr>
          <w:sz w:val="22"/>
          <w:szCs w:val="22"/>
        </w:rPr>
        <w:t xml:space="preserve"> » du chèque ou du virement de financement ou de refinancement. </w:t>
      </w:r>
    </w:p>
    <w:p>
      <w:pPr>
        <w:pStyle w:val="Normal"/>
        <w:ind w:start="1418" w:end="0"/>
        <w:jc w:val="both"/>
        <w:rPr>
          <w:b/>
          <w:bCs/>
          <w:sz w:val="22"/>
          <w:szCs w:val="22"/>
          <w:highlight w:val="yellow"/>
        </w:rPr>
      </w:pPr>
      <w:r>
        <w:rPr>
          <w:b/>
          <w:bCs/>
          <w:sz w:val="22"/>
          <w:szCs w:val="22"/>
          <w:highlight w:val="yellow"/>
        </w:rPr>
      </w:r>
    </w:p>
    <w:p>
      <w:pPr>
        <w:pStyle w:val="Normal"/>
        <w:ind w:start="1418" w:end="0"/>
        <w:jc w:val="both"/>
        <w:rPr>
          <w:b/>
          <w:bCs/>
          <w:sz w:val="22"/>
          <w:szCs w:val="22"/>
          <w:highlight w:val="yellow"/>
        </w:rPr>
      </w:pPr>
      <w:r>
        <w:rPr>
          <w:b/>
          <w:bCs/>
          <w:sz w:val="22"/>
          <w:szCs w:val="22"/>
          <w:highlight w:val="yellow"/>
        </w:rPr>
      </w:r>
    </w:p>
    <w:p>
      <w:pPr>
        <w:pStyle w:val="Normal"/>
        <w:numPr>
          <w:ilvl w:val="2"/>
          <w:numId w:val="2"/>
        </w:numPr>
        <w:tabs>
          <w:tab w:val="clear" w:pos="708"/>
        </w:tabs>
        <w:ind w:hanging="720" w:start="1418" w:end="0"/>
        <w:jc w:val="both"/>
        <w:rPr>
          <w:b/>
          <w:bCs/>
          <w:sz w:val="22"/>
          <w:szCs w:val="22"/>
        </w:rPr>
      </w:pPr>
      <w:r>
        <w:rPr>
          <w:sz w:val="22"/>
          <w:szCs w:val="22"/>
        </w:rPr>
        <w:t>Reconnaitre à «</w:t>
      </w:r>
      <w:r>
        <w:rPr>
          <w:b/>
          <w:bCs/>
          <w:sz w:val="22"/>
          <w:szCs w:val="22"/>
        </w:rPr>
        <w:t> L’Exportateur</w:t>
      </w:r>
      <w:r>
        <w:rPr>
          <w:sz w:val="22"/>
          <w:szCs w:val="22"/>
        </w:rPr>
        <w:t> » la présomption d’un droit de propriété exclusif sur tous produits trouvés en sa possession ou en possession de toute personne agissant pour son compte ; «</w:t>
      </w:r>
      <w:r>
        <w:rPr>
          <w:b/>
          <w:bCs/>
          <w:sz w:val="22"/>
          <w:szCs w:val="22"/>
        </w:rPr>
        <w:t> L’Exportateur</w:t>
      </w:r>
      <w:r>
        <w:rPr>
          <w:sz w:val="22"/>
          <w:szCs w:val="22"/>
        </w:rPr>
        <w:t> » ayant un droit de suite sur ses produits qu’il peut de ce fait saisir sans formalité en cas de non-respect par « </w:t>
      </w:r>
      <w:r>
        <w:rPr>
          <w:b/>
          <w:bCs/>
          <w:sz w:val="22"/>
          <w:szCs w:val="22"/>
        </w:rPr>
        <w:t>Le Fournisseur</w:t>
      </w:r>
      <w:r>
        <w:rPr>
          <w:sz w:val="22"/>
          <w:szCs w:val="22"/>
        </w:rPr>
        <w:t> » des délais de livraisons dûment constaté pour rembourser sa créance.</w:t>
      </w:r>
    </w:p>
    <w:p>
      <w:pPr>
        <w:pStyle w:val="Normal"/>
        <w:numPr>
          <w:ilvl w:val="2"/>
          <w:numId w:val="2"/>
        </w:numPr>
        <w:tabs>
          <w:tab w:val="clear" w:pos="708"/>
        </w:tabs>
        <w:ind w:hanging="720" w:start="1418" w:end="0"/>
        <w:jc w:val="both"/>
        <w:rPr>
          <w:b/>
          <w:bCs/>
          <w:sz w:val="22"/>
          <w:szCs w:val="22"/>
        </w:rPr>
      </w:pPr>
      <w:r>
        <w:rPr>
          <w:sz w:val="22"/>
          <w:szCs w:val="22"/>
        </w:rPr>
        <w:t>Fournir à « </w:t>
      </w:r>
      <w:r>
        <w:rPr>
          <w:b/>
          <w:bCs/>
          <w:sz w:val="22"/>
          <w:szCs w:val="22"/>
        </w:rPr>
        <w:t>L’Exportateu</w:t>
      </w:r>
      <w:r>
        <w:rPr>
          <w:sz w:val="22"/>
          <w:szCs w:val="22"/>
        </w:rPr>
        <w:t>r » le dossier suivant :</w:t>
      </w:r>
    </w:p>
    <w:p>
      <w:pPr>
        <w:pStyle w:val="Normal"/>
        <w:numPr>
          <w:ilvl w:val="3"/>
          <w:numId w:val="2"/>
        </w:numPr>
        <w:tabs>
          <w:tab w:val="clear" w:pos="708"/>
          <w:tab w:val="left" w:pos="2880" w:leader="none"/>
        </w:tabs>
        <w:ind w:hanging="720" w:start="1985" w:end="0"/>
        <w:jc w:val="both"/>
        <w:rPr>
          <w:b/>
          <w:bCs/>
          <w:sz w:val="22"/>
          <w:szCs w:val="22"/>
        </w:rPr>
      </w:pPr>
      <w:r>
        <w:rPr>
          <w:sz w:val="22"/>
          <w:szCs w:val="22"/>
        </w:rPr>
        <w:t>Une copie de l’agrément de « </w:t>
      </w:r>
      <w:r>
        <w:rPr>
          <w:b/>
          <w:bCs/>
          <w:sz w:val="22"/>
          <w:szCs w:val="22"/>
        </w:rPr>
        <w:t>Le Fournisseur</w:t>
      </w:r>
      <w:r>
        <w:rPr>
          <w:sz w:val="22"/>
          <w:szCs w:val="22"/>
        </w:rPr>
        <w:t> », de l’attestation d’exonération BIC et de la délégation de pouvoirs, dans les meilleurs délais et à première demande de l’Exportateur.</w:t>
      </w:r>
    </w:p>
    <w:p>
      <w:pPr>
        <w:pStyle w:val="Normal"/>
        <w:numPr>
          <w:ilvl w:val="3"/>
          <w:numId w:val="2"/>
        </w:numPr>
        <w:tabs>
          <w:tab w:val="clear" w:pos="708"/>
          <w:tab w:val="left" w:pos="2880" w:leader="none"/>
        </w:tabs>
        <w:ind w:hanging="720" w:start="1985" w:end="0"/>
        <w:jc w:val="both"/>
        <w:rPr>
          <w:sz w:val="22"/>
          <w:szCs w:val="22"/>
        </w:rPr>
      </w:pPr>
      <w:r>
        <w:rPr>
          <w:sz w:val="22"/>
          <w:szCs w:val="22"/>
        </w:rPr>
        <w:t>Pour chacun des véhicules mis en garantie, « un certificat de vente d’un véhicule d’occasion » légalisé au profit de «</w:t>
      </w:r>
      <w:r>
        <w:rPr>
          <w:b/>
          <w:bCs/>
          <w:sz w:val="22"/>
          <w:szCs w:val="22"/>
        </w:rPr>
        <w:t> L’Exportateur</w:t>
      </w:r>
      <w:r>
        <w:rPr>
          <w:sz w:val="22"/>
          <w:szCs w:val="22"/>
        </w:rPr>
        <w:t xml:space="preserve"> » pour la valeur du financement octroyé, en guise de garantie. « </w:t>
      </w:r>
      <w:r>
        <w:rPr>
          <w:b/>
          <w:bCs/>
          <w:sz w:val="22"/>
          <w:szCs w:val="22"/>
        </w:rPr>
        <w:t>Le Fournisseur</w:t>
      </w:r>
      <w:r>
        <w:rPr>
          <w:sz w:val="22"/>
          <w:szCs w:val="22"/>
        </w:rPr>
        <w:t xml:space="preserve"> » reconnaît que les frais d’expertise des véhicules mis en garantie sont à sa charge exclusive. Au cas où un problème survient sur le matériel roulant mis en gage qui entraine l’immobilisation définitive du matériel, Le Fournisseur est tenu d’informer Ecorigine et de proposer une nouvelle garantie de même valeur.</w:t>
      </w:r>
    </w:p>
    <w:p>
      <w:pPr>
        <w:pStyle w:val="Normal"/>
        <w:ind w:start="2880" w:end="0"/>
        <w:jc w:val="both"/>
        <w:rPr>
          <w:b/>
          <w:bCs/>
          <w:sz w:val="22"/>
          <w:szCs w:val="22"/>
        </w:rPr>
      </w:pPr>
      <w:r>
        <w:rPr>
          <w:b/>
          <w:bCs/>
          <w:sz w:val="22"/>
          <w:szCs w:val="22"/>
        </w:rPr>
      </w:r>
    </w:p>
    <w:p>
      <w:pPr>
        <w:pStyle w:val="Normal"/>
        <w:numPr>
          <w:ilvl w:val="2"/>
          <w:numId w:val="2"/>
        </w:numPr>
        <w:tabs>
          <w:tab w:val="clear" w:pos="708"/>
        </w:tabs>
        <w:ind w:hanging="720" w:start="1418" w:end="0"/>
        <w:jc w:val="both"/>
        <w:rPr>
          <w:b/>
          <w:bCs/>
          <w:sz w:val="22"/>
          <w:szCs w:val="22"/>
        </w:rPr>
      </w:pPr>
      <w:r>
        <w:rPr>
          <w:sz w:val="22"/>
          <w:szCs w:val="22"/>
        </w:rPr>
        <w:t>Dans ce contexte « Le Fournisseur » s’oblige à mettre à la disposition de « </w:t>
      </w:r>
      <w:r>
        <w:rPr>
          <w:b/>
          <w:bCs/>
          <w:sz w:val="22"/>
          <w:szCs w:val="22"/>
        </w:rPr>
        <w:t>L’Exportateur</w:t>
      </w:r>
      <w:r>
        <w:rPr>
          <w:sz w:val="22"/>
          <w:szCs w:val="22"/>
        </w:rPr>
        <w:t xml:space="preserve"> » ces véhicules, à première demande, en cas de défaut de paiement et autorise </w:t>
      </w:r>
      <w:r>
        <w:rPr>
          <w:b/>
          <w:bCs/>
          <w:sz w:val="22"/>
          <w:szCs w:val="22"/>
        </w:rPr>
        <w:t>« L’Exportateur</w:t>
      </w:r>
      <w:r>
        <w:rPr>
          <w:sz w:val="22"/>
          <w:szCs w:val="22"/>
        </w:rPr>
        <w:t> » à les retirer et à les vendre le cas échéant pour sécuriser sa créance.</w:t>
      </w:r>
    </w:p>
    <w:p>
      <w:pPr>
        <w:pStyle w:val="Normal"/>
        <w:ind w:start="1418" w:end="0"/>
        <w:jc w:val="both"/>
        <w:rPr>
          <w:b/>
          <w:bCs/>
          <w:sz w:val="22"/>
          <w:szCs w:val="22"/>
        </w:rPr>
      </w:pPr>
      <w:r>
        <w:rPr>
          <w:b/>
          <w:bCs/>
          <w:sz w:val="22"/>
          <w:szCs w:val="22"/>
        </w:rPr>
      </w:r>
    </w:p>
    <w:p>
      <w:pPr>
        <w:pStyle w:val="Normal"/>
        <w:numPr>
          <w:ilvl w:val="2"/>
          <w:numId w:val="2"/>
        </w:numPr>
        <w:tabs>
          <w:tab w:val="clear" w:pos="708"/>
        </w:tabs>
        <w:ind w:hanging="720" w:start="1418" w:end="0"/>
        <w:jc w:val="both"/>
        <w:rPr>
          <w:b/>
          <w:bCs/>
          <w:sz w:val="22"/>
          <w:szCs w:val="22"/>
        </w:rPr>
      </w:pPr>
      <w:r>
        <w:rPr>
          <w:b/>
          <w:bCs/>
          <w:sz w:val="22"/>
          <w:szCs w:val="22"/>
        </w:rPr>
        <w:t>« Le Fournisseur</w:t>
      </w:r>
      <w:r>
        <w:rPr>
          <w:sz w:val="22"/>
          <w:szCs w:val="22"/>
        </w:rPr>
        <w:t xml:space="preserve"> » certifie sur l’honneur ne pas avoir d’engagements avec une tierce partie de nature à troubler sa collaboration avec « </w:t>
      </w:r>
      <w:r>
        <w:rPr>
          <w:b/>
          <w:bCs/>
          <w:sz w:val="22"/>
          <w:szCs w:val="22"/>
        </w:rPr>
        <w:t>L’Exportateur</w:t>
      </w:r>
      <w:r>
        <w:rPr>
          <w:sz w:val="22"/>
          <w:szCs w:val="22"/>
        </w:rPr>
        <w:t> ».</w:t>
      </w:r>
    </w:p>
    <w:p>
      <w:pPr>
        <w:pStyle w:val="Paragraphedeliste"/>
        <w:ind w:start="1418" w:end="0"/>
        <w:rPr>
          <w:b/>
          <w:bCs/>
          <w:sz w:val="22"/>
          <w:szCs w:val="22"/>
        </w:rPr>
      </w:pPr>
      <w:r>
        <w:rPr>
          <w:b/>
          <w:bCs/>
          <w:sz w:val="22"/>
          <w:szCs w:val="22"/>
        </w:rPr>
      </w:r>
    </w:p>
    <w:p>
      <w:pPr>
        <w:pStyle w:val="Normal"/>
        <w:ind w:start="1418" w:end="0"/>
        <w:jc w:val="both"/>
        <w:rPr>
          <w:b/>
          <w:bCs/>
          <w:sz w:val="22"/>
          <w:szCs w:val="22"/>
        </w:rPr>
      </w:pPr>
      <w:r>
        <w:rPr>
          <w:b/>
          <w:bCs/>
          <w:sz w:val="22"/>
          <w:szCs w:val="22"/>
        </w:rPr>
      </w:r>
    </w:p>
    <w:p>
      <w:pPr>
        <w:pStyle w:val="Normal"/>
        <w:numPr>
          <w:ilvl w:val="2"/>
          <w:numId w:val="2"/>
        </w:numPr>
        <w:tabs>
          <w:tab w:val="clear" w:pos="708"/>
        </w:tabs>
        <w:ind w:hanging="720" w:start="1418" w:end="0"/>
        <w:jc w:val="both"/>
        <w:rPr>
          <w:b/>
          <w:bCs/>
          <w:sz w:val="22"/>
          <w:szCs w:val="22"/>
        </w:rPr>
      </w:pPr>
      <w:r>
        <w:rPr>
          <w:sz w:val="22"/>
          <w:szCs w:val="22"/>
        </w:rPr>
        <w:t>Faire une mise en compte de 10 FCFA par kilogramme livré chez « </w:t>
      </w:r>
      <w:r>
        <w:rPr>
          <w:b/>
          <w:bCs/>
          <w:sz w:val="22"/>
          <w:szCs w:val="22"/>
        </w:rPr>
        <w:t>L’Exportateur</w:t>
      </w:r>
      <w:r>
        <w:rPr>
          <w:sz w:val="22"/>
          <w:szCs w:val="22"/>
        </w:rPr>
        <w:t> », payable en fin de campagne à sa demande, en cas de non-redevance.</w:t>
      </w:r>
    </w:p>
    <w:p>
      <w:pPr>
        <w:pStyle w:val="Normal"/>
        <w:ind w:start="1418" w:end="0"/>
        <w:jc w:val="both"/>
        <w:rPr>
          <w:b/>
          <w:bCs/>
          <w:sz w:val="22"/>
          <w:szCs w:val="22"/>
        </w:rPr>
      </w:pPr>
      <w:r>
        <w:rPr>
          <w:b/>
          <w:bCs/>
          <w:sz w:val="22"/>
          <w:szCs w:val="22"/>
        </w:rPr>
      </w:r>
    </w:p>
    <w:p>
      <w:pPr>
        <w:pStyle w:val="Normal"/>
        <w:numPr>
          <w:ilvl w:val="2"/>
          <w:numId w:val="2"/>
        </w:numPr>
        <w:tabs>
          <w:tab w:val="clear" w:pos="708"/>
        </w:tabs>
        <w:ind w:hanging="720" w:start="1418" w:end="0"/>
        <w:jc w:val="both"/>
        <w:rPr>
          <w:bCs/>
          <w:sz w:val="22"/>
          <w:szCs w:val="22"/>
        </w:rPr>
      </w:pPr>
      <w:r>
        <w:rPr>
          <w:bCs/>
          <w:sz w:val="22"/>
          <w:szCs w:val="22"/>
        </w:rPr>
        <w:t>Mettre à la disposition de «</w:t>
      </w:r>
      <w:r>
        <w:rPr>
          <w:b/>
          <w:sz w:val="22"/>
          <w:szCs w:val="22"/>
        </w:rPr>
        <w:t xml:space="preserve"> L’Exportateur</w:t>
      </w:r>
      <w:r>
        <w:rPr>
          <w:bCs/>
          <w:sz w:val="22"/>
          <w:szCs w:val="22"/>
        </w:rPr>
        <w:t xml:space="preserve"> » l’intégralité des sommes dues en cas de non-respect des clauses ci-dessus. </w:t>
      </w:r>
    </w:p>
    <w:p>
      <w:pPr>
        <w:pStyle w:val="Normal"/>
        <w:ind w:start="1418" w:end="0"/>
        <w:jc w:val="both"/>
        <w:rPr>
          <w:bCs/>
          <w:sz w:val="22"/>
          <w:szCs w:val="22"/>
        </w:rPr>
      </w:pPr>
      <w:r>
        <w:rPr>
          <w:bCs/>
          <w:sz w:val="22"/>
          <w:szCs w:val="22"/>
        </w:rPr>
      </w:r>
    </w:p>
    <w:p>
      <w:pPr>
        <w:pStyle w:val="Normal"/>
        <w:numPr>
          <w:ilvl w:val="2"/>
          <w:numId w:val="2"/>
        </w:numPr>
        <w:tabs>
          <w:tab w:val="clear" w:pos="708"/>
        </w:tabs>
        <w:ind w:hanging="720" w:start="1418" w:end="0"/>
        <w:jc w:val="both"/>
        <w:rPr>
          <w:bCs/>
          <w:sz w:val="22"/>
          <w:szCs w:val="22"/>
        </w:rPr>
      </w:pPr>
      <w:r>
        <w:rPr>
          <w:bCs/>
          <w:sz w:val="22"/>
          <w:szCs w:val="22"/>
        </w:rPr>
        <w:t>Souscrire, le jour de la signature des présentes, une reconnaissance de dette, avec engagement de remboursement immédiat de toutes sommes reçues en vertu des présentes des mandats qui en résultent pour leur exécution, dans les hypothèses où « </w:t>
      </w:r>
      <w:r>
        <w:rPr>
          <w:b/>
          <w:sz w:val="22"/>
          <w:szCs w:val="22"/>
        </w:rPr>
        <w:t>l’Exportateur </w:t>
      </w:r>
      <w:r>
        <w:rPr>
          <w:bCs/>
          <w:sz w:val="22"/>
          <w:szCs w:val="22"/>
        </w:rPr>
        <w:t>» n’aurait pas obtenu son agrément d’Exportateur, Le Fournisseur son agrément de Traitant et le Conseil Café-Cacao (CCC) n’attribuerait pas, ou le faisait en quantité insuffisante, à Ecorigine de contrats internationaux Café-Cacao. Copie de ladite reconnaissance de dette restera annexée aux présentes.</w:t>
      </w:r>
    </w:p>
    <w:p>
      <w:pPr>
        <w:pStyle w:val="BodyTextIndent"/>
        <w:ind w:start="1440" w:end="0"/>
        <w:jc w:val="both"/>
        <w:rPr>
          <w:b/>
          <w:bCs/>
          <w:sz w:val="22"/>
          <w:szCs w:val="22"/>
        </w:rPr>
      </w:pPr>
      <w:r>
        <w:rPr>
          <w:b/>
          <w:bCs/>
          <w:sz w:val="22"/>
          <w:szCs w:val="22"/>
        </w:rPr>
      </w:r>
    </w:p>
    <w:p>
      <w:pPr>
        <w:pStyle w:val="BodyTextIndent"/>
        <w:numPr>
          <w:ilvl w:val="1"/>
          <w:numId w:val="2"/>
        </w:numPr>
        <w:tabs>
          <w:tab w:val="clear" w:pos="708"/>
        </w:tabs>
        <w:ind w:hanging="360" w:start="567" w:end="0"/>
        <w:jc w:val="both"/>
        <w:rPr>
          <w:b/>
          <w:bCs/>
          <w:sz w:val="22"/>
          <w:szCs w:val="22"/>
        </w:rPr>
      </w:pPr>
      <w:r>
        <w:rPr>
          <w:b/>
          <w:bCs/>
          <w:sz w:val="22"/>
          <w:szCs w:val="22"/>
        </w:rPr>
        <w:t>« L’Exportateur »</w:t>
      </w:r>
    </w:p>
    <w:p>
      <w:pPr>
        <w:pStyle w:val="BodyTextIndent"/>
        <w:ind w:start="1440" w:end="0"/>
        <w:jc w:val="both"/>
        <w:rPr>
          <w:b/>
          <w:bCs/>
          <w:sz w:val="22"/>
          <w:szCs w:val="22"/>
        </w:rPr>
      </w:pPr>
      <w:r>
        <w:rPr>
          <w:b/>
          <w:bCs/>
          <w:sz w:val="22"/>
          <w:szCs w:val="22"/>
        </w:rPr>
      </w:r>
    </w:p>
    <w:p>
      <w:pPr>
        <w:pStyle w:val="BodyTextIndent"/>
        <w:numPr>
          <w:ilvl w:val="2"/>
          <w:numId w:val="2"/>
        </w:numPr>
        <w:tabs>
          <w:tab w:val="clear" w:pos="708"/>
        </w:tabs>
        <w:ind w:hanging="720" w:start="1418" w:end="0"/>
        <w:jc w:val="both"/>
        <w:rPr>
          <w:b/>
          <w:bCs/>
          <w:sz w:val="22"/>
          <w:szCs w:val="22"/>
        </w:rPr>
      </w:pPr>
      <w:r>
        <w:rPr>
          <w:sz w:val="22"/>
          <w:szCs w:val="22"/>
        </w:rPr>
        <w:t xml:space="preserve">Fournir à « </w:t>
      </w:r>
      <w:r>
        <w:rPr>
          <w:b/>
          <w:bCs/>
          <w:sz w:val="22"/>
          <w:szCs w:val="22"/>
        </w:rPr>
        <w:t>Le Fournisseur</w:t>
      </w:r>
      <w:r>
        <w:rPr>
          <w:sz w:val="22"/>
          <w:szCs w:val="22"/>
        </w:rPr>
        <w:t xml:space="preserve"> », à chaque livraison un bordereau de livraison consignant la quantité et la valeur livrée.</w:t>
      </w:r>
    </w:p>
    <w:p>
      <w:pPr>
        <w:pStyle w:val="BodyTextIndent"/>
        <w:numPr>
          <w:ilvl w:val="2"/>
          <w:numId w:val="2"/>
        </w:numPr>
        <w:tabs>
          <w:tab w:val="clear" w:pos="708"/>
        </w:tabs>
        <w:ind w:hanging="720" w:start="1418" w:end="0"/>
        <w:jc w:val="both"/>
        <w:rPr>
          <w:b/>
          <w:bCs/>
          <w:sz w:val="22"/>
          <w:szCs w:val="22"/>
        </w:rPr>
      </w:pPr>
      <w:r>
        <w:rPr>
          <w:sz w:val="22"/>
          <w:szCs w:val="22"/>
        </w:rPr>
        <w:t xml:space="preserve">Faire un point détaillé à « </w:t>
      </w:r>
      <w:r>
        <w:rPr>
          <w:b/>
          <w:bCs/>
          <w:sz w:val="22"/>
          <w:szCs w:val="22"/>
        </w:rPr>
        <w:t xml:space="preserve">Le Fournisseur </w:t>
      </w:r>
      <w:r>
        <w:rPr>
          <w:sz w:val="22"/>
          <w:szCs w:val="22"/>
        </w:rPr>
        <w:t xml:space="preserve">» au fil des livraisons, des quantités livrées et valeurs correspondantes, et mettre à sa disposition toute la documentation relative à son encours. </w:t>
      </w:r>
    </w:p>
    <w:p>
      <w:pPr>
        <w:pStyle w:val="BodyTextIndent"/>
        <w:numPr>
          <w:ilvl w:val="2"/>
          <w:numId w:val="2"/>
        </w:numPr>
        <w:tabs>
          <w:tab w:val="clear" w:pos="708"/>
        </w:tabs>
        <w:ind w:hanging="720" w:start="1418" w:end="0"/>
        <w:jc w:val="both"/>
        <w:rPr>
          <w:b/>
          <w:bCs/>
          <w:sz w:val="22"/>
          <w:szCs w:val="22"/>
        </w:rPr>
      </w:pPr>
      <w:r>
        <w:rPr>
          <w:sz w:val="22"/>
          <w:szCs w:val="22"/>
        </w:rPr>
        <w:t xml:space="preserve">Renouveler à « </w:t>
      </w:r>
      <w:r>
        <w:rPr>
          <w:b/>
          <w:bCs/>
          <w:sz w:val="22"/>
          <w:szCs w:val="22"/>
        </w:rPr>
        <w:t>Le Fournisseur</w:t>
      </w:r>
      <w:r>
        <w:rPr>
          <w:sz w:val="22"/>
          <w:szCs w:val="22"/>
        </w:rPr>
        <w:t xml:space="preserve"> » l’avance octroyée, une fois son compte soldé en produit. « </w:t>
      </w:r>
      <w:r>
        <w:rPr>
          <w:b/>
          <w:bCs/>
          <w:sz w:val="22"/>
          <w:szCs w:val="22"/>
        </w:rPr>
        <w:t>L’Exportateur</w:t>
      </w:r>
      <w:r>
        <w:rPr>
          <w:sz w:val="22"/>
          <w:szCs w:val="22"/>
        </w:rPr>
        <w:t xml:space="preserve"> » se réserve toutefois le droit d’interrompre à tout moment le financement, s’il juge ne pas tirer entière satisfaction de la collaboration avec « </w:t>
      </w:r>
      <w:r>
        <w:rPr>
          <w:b/>
          <w:bCs/>
          <w:sz w:val="22"/>
          <w:szCs w:val="22"/>
        </w:rPr>
        <w:t>Le Fournisseur »</w:t>
      </w:r>
      <w:r>
        <w:rPr>
          <w:sz w:val="22"/>
          <w:szCs w:val="22"/>
        </w:rPr>
        <w:t xml:space="preserve"> sans qu’il n’ait à justifier sa décision ni faire l’objet de poursuite pour rupture abusive. </w:t>
      </w:r>
    </w:p>
    <w:p>
      <w:pPr>
        <w:pStyle w:val="BodyTextIndent"/>
        <w:numPr>
          <w:ilvl w:val="2"/>
          <w:numId w:val="2"/>
        </w:numPr>
        <w:tabs>
          <w:tab w:val="clear" w:pos="708"/>
        </w:tabs>
        <w:ind w:hanging="720" w:start="1418" w:end="0"/>
        <w:jc w:val="both"/>
        <w:rPr>
          <w:b/>
          <w:bCs/>
          <w:sz w:val="22"/>
          <w:szCs w:val="22"/>
        </w:rPr>
      </w:pPr>
      <w:r>
        <w:rPr>
          <w:sz w:val="22"/>
          <w:szCs w:val="22"/>
        </w:rPr>
        <w:t>Chaque renouvellement de l’avance donnera lieu à l’établissement d’un avenant au présent protocole, qui précisera le montant alloué, le délai de livraison, et la qualité acceptée par « </w:t>
      </w:r>
      <w:r>
        <w:rPr>
          <w:b/>
          <w:bCs/>
          <w:sz w:val="22"/>
          <w:szCs w:val="22"/>
        </w:rPr>
        <w:t>L’Exportateur</w:t>
      </w:r>
      <w:r>
        <w:rPr>
          <w:sz w:val="22"/>
          <w:szCs w:val="22"/>
        </w:rPr>
        <w:t> » pour la période considérée.</w:t>
      </w:r>
    </w:p>
    <w:p>
      <w:pPr>
        <w:pStyle w:val="Normal"/>
        <w:jc w:val="both"/>
        <w:rPr>
          <w:b/>
          <w:bCs/>
          <w:sz w:val="22"/>
          <w:szCs w:val="22"/>
        </w:rPr>
      </w:pPr>
      <w:r>
        <w:rPr>
          <w:b/>
          <w:bCs/>
          <w:sz w:val="22"/>
          <w:szCs w:val="22"/>
        </w:rPr>
      </w:r>
    </w:p>
    <w:p>
      <w:pPr>
        <w:pStyle w:val="Normal"/>
        <w:jc w:val="both"/>
        <w:rPr>
          <w:sz w:val="22"/>
          <w:szCs w:val="22"/>
        </w:rPr>
      </w:pPr>
      <w:r>
        <w:rPr>
          <w:sz w:val="22"/>
          <w:szCs w:val="22"/>
        </w:rPr>
      </w:r>
    </w:p>
    <w:p>
      <w:pPr>
        <w:pStyle w:val="Normal"/>
        <w:jc w:val="both"/>
        <w:rPr>
          <w:sz w:val="22"/>
          <w:szCs w:val="22"/>
        </w:rPr>
      </w:pPr>
      <w:r>
        <w:rPr>
          <w:sz w:val="22"/>
          <w:szCs w:val="22"/>
        </w:rPr>
      </w:r>
    </w:p>
    <w:p>
      <w:pPr>
        <w:pStyle w:val="Normal"/>
        <w:jc w:val="both"/>
        <w:rPr>
          <w:sz w:val="22"/>
          <w:szCs w:val="22"/>
        </w:rPr>
      </w:pPr>
      <w:r>
        <w:rPr>
          <w:sz w:val="22"/>
          <w:szCs w:val="22"/>
        </w:rPr>
      </w:r>
    </w:p>
    <w:p>
      <w:pPr>
        <w:pStyle w:val="Normal"/>
        <w:jc w:val="both"/>
        <w:rPr>
          <w:sz w:val="22"/>
          <w:szCs w:val="22"/>
        </w:rPr>
      </w:pPr>
      <w:r>
        <w:rPr>
          <w:sz w:val="22"/>
          <w:szCs w:val="22"/>
        </w:rPr>
      </w:r>
    </w:p>
    <w:p>
      <w:pPr>
        <w:pStyle w:val="BodyTextIndent"/>
        <w:ind w:firstLine="360" w:start="0" w:end="0"/>
        <w:jc w:val="both"/>
        <w:rPr>
          <w:b/>
          <w:bCs/>
          <w:sz w:val="22"/>
          <w:szCs w:val="22"/>
          <w:u w:val="single"/>
        </w:rPr>
      </w:pPr>
      <w:r>
        <w:rPr>
          <w:b/>
          <w:bCs/>
          <w:sz w:val="22"/>
          <w:szCs w:val="22"/>
          <w:u w:val="single"/>
        </w:rPr>
        <w:t>Article 5 – Litige</w:t>
      </w:r>
    </w:p>
    <w:p>
      <w:pPr>
        <w:pStyle w:val="BodyTextIndent"/>
        <w:ind w:start="0" w:end="0"/>
        <w:jc w:val="both"/>
        <w:rPr>
          <w:b/>
          <w:bCs/>
          <w:sz w:val="22"/>
          <w:szCs w:val="22"/>
          <w:u w:val="single"/>
        </w:rPr>
      </w:pPr>
      <w:r>
        <w:rPr>
          <w:b/>
          <w:bCs/>
          <w:sz w:val="22"/>
          <w:szCs w:val="22"/>
          <w:u w:val="single"/>
        </w:rPr>
      </w:r>
    </w:p>
    <w:p>
      <w:pPr>
        <w:pStyle w:val="BodyTextIndent"/>
        <w:ind w:start="360" w:end="0"/>
        <w:jc w:val="both"/>
        <w:rPr>
          <w:sz w:val="22"/>
          <w:szCs w:val="22"/>
        </w:rPr>
      </w:pPr>
      <w:r>
        <w:rPr>
          <w:sz w:val="22"/>
          <w:szCs w:val="22"/>
        </w:rPr>
        <w:t xml:space="preserve">Toutes les parties œuvreront à la réussite et la pérennité du présent partenariat. </w:t>
      </w:r>
    </w:p>
    <w:p>
      <w:pPr>
        <w:pStyle w:val="BodyTextIndent"/>
        <w:ind w:start="360" w:end="0"/>
        <w:jc w:val="both"/>
        <w:rPr>
          <w:sz w:val="22"/>
          <w:szCs w:val="22"/>
        </w:rPr>
      </w:pPr>
      <w:r>
        <w:rPr>
          <w:sz w:val="22"/>
          <w:szCs w:val="22"/>
        </w:rPr>
      </w:r>
    </w:p>
    <w:p>
      <w:pPr>
        <w:pStyle w:val="BodyTextIndent"/>
        <w:ind w:start="360" w:end="0"/>
        <w:jc w:val="both"/>
        <w:rPr/>
      </w:pPr>
      <w:r>
        <w:rPr>
          <w:sz w:val="22"/>
          <w:szCs w:val="22"/>
        </w:rPr>
        <w:t>Pour les litiges qui naîtront du recouvrement des créances, « </w:t>
      </w:r>
      <w:r>
        <w:rPr>
          <w:b/>
          <w:bCs/>
          <w:sz w:val="22"/>
          <w:szCs w:val="22"/>
        </w:rPr>
        <w:t>L’Exportateur</w:t>
      </w:r>
      <w:r>
        <w:rPr>
          <w:sz w:val="22"/>
          <w:szCs w:val="22"/>
        </w:rPr>
        <w:t xml:space="preserve"> » s’oblige à adresser à « </w:t>
      </w:r>
      <w:r>
        <w:rPr>
          <w:b/>
          <w:bCs/>
          <w:sz w:val="22"/>
          <w:szCs w:val="22"/>
        </w:rPr>
        <w:t>Le Fournisseur</w:t>
      </w:r>
      <w:r>
        <w:rPr>
          <w:sz w:val="22"/>
          <w:szCs w:val="22"/>
        </w:rPr>
        <w:t xml:space="preserve"> » une mise en demeure de payer sous huitaine le montant qu’elle reste lui devoir.</w:t>
      </w:r>
    </w:p>
    <w:p>
      <w:pPr>
        <w:pStyle w:val="BodyTextIndent"/>
        <w:ind w:start="360" w:end="0"/>
        <w:jc w:val="both"/>
        <w:rPr>
          <w:sz w:val="22"/>
          <w:szCs w:val="22"/>
        </w:rPr>
      </w:pPr>
      <w:r>
        <w:rPr>
          <w:sz w:val="22"/>
          <w:szCs w:val="22"/>
        </w:rPr>
      </w:r>
    </w:p>
    <w:p>
      <w:pPr>
        <w:pStyle w:val="Normal"/>
        <w:ind w:start="360" w:end="0"/>
        <w:rPr/>
      </w:pPr>
      <w:r>
        <w:rPr>
          <w:sz w:val="22"/>
          <w:szCs w:val="22"/>
          <w:lang w:eastAsia="en-US"/>
        </w:rPr>
        <w:t>Tout litige ayant trait à l’exécution et à l’interprétation des présentes, sera tranché par le Tribunal du Commerce d’Abidjan. Seul le droit ivoirien sera applicable.</w:t>
      </w:r>
    </w:p>
    <w:p>
      <w:pPr>
        <w:pStyle w:val="BodyTextIndent"/>
        <w:ind w:start="360" w:end="0"/>
        <w:jc w:val="both"/>
        <w:rPr>
          <w:sz w:val="22"/>
          <w:szCs w:val="22"/>
          <w:lang w:eastAsia="en-US"/>
        </w:rPr>
      </w:pPr>
      <w:r>
        <w:rPr>
          <w:sz w:val="22"/>
          <w:szCs w:val="22"/>
          <w:lang w:eastAsia="en-US"/>
        </w:rPr>
      </w:r>
    </w:p>
    <w:p>
      <w:pPr>
        <w:pStyle w:val="BodyTextIndent"/>
        <w:ind w:start="360" w:end="0"/>
        <w:jc w:val="both"/>
        <w:rPr>
          <w:sz w:val="22"/>
          <w:szCs w:val="22"/>
        </w:rPr>
      </w:pPr>
      <w:r>
        <w:rPr>
          <w:sz w:val="22"/>
          <w:szCs w:val="22"/>
        </w:rPr>
      </w:r>
    </w:p>
    <w:p>
      <w:pPr>
        <w:pStyle w:val="BodyTextIndent"/>
        <w:ind w:firstLine="360" w:start="0" w:end="0"/>
        <w:jc w:val="both"/>
        <w:rPr>
          <w:b/>
          <w:bCs/>
          <w:sz w:val="22"/>
          <w:szCs w:val="22"/>
          <w:u w:val="single"/>
        </w:rPr>
      </w:pPr>
      <w:r>
        <w:rPr>
          <w:b/>
          <w:bCs/>
          <w:sz w:val="22"/>
          <w:szCs w:val="22"/>
          <w:u w:val="single"/>
        </w:rPr>
        <w:t>Article 6 – Entrée en vigueur - durée</w:t>
      </w:r>
    </w:p>
    <w:p>
      <w:pPr>
        <w:pStyle w:val="BodyTextIndent"/>
        <w:ind w:start="0" w:end="0"/>
        <w:jc w:val="both"/>
        <w:rPr>
          <w:b/>
          <w:bCs/>
          <w:sz w:val="22"/>
          <w:szCs w:val="22"/>
          <w:u w:val="single"/>
        </w:rPr>
      </w:pPr>
      <w:r>
        <w:rPr>
          <w:b/>
          <w:bCs/>
          <w:sz w:val="22"/>
          <w:szCs w:val="22"/>
          <w:u w:val="single"/>
        </w:rPr>
      </w:r>
    </w:p>
    <w:p>
      <w:pPr>
        <w:pStyle w:val="BodyTextIndent"/>
        <w:ind w:start="360" w:end="0"/>
        <w:jc w:val="both"/>
        <w:rPr>
          <w:sz w:val="22"/>
          <w:szCs w:val="22"/>
        </w:rPr>
      </w:pPr>
      <w:r>
        <w:rPr>
          <w:sz w:val="22"/>
          <w:szCs w:val="22"/>
        </w:rPr>
        <w:t>Le présent protocole entrera en vigueur à compter de la mise à disposition du financement promis, pour la durée de la campagne Café-Cacao 2…/2…</w:t>
      </w:r>
    </w:p>
    <w:p>
      <w:pPr>
        <w:pStyle w:val="BodyTextIndent"/>
        <w:ind w:start="360" w:end="0"/>
        <w:jc w:val="both"/>
        <w:rPr>
          <w:sz w:val="22"/>
          <w:szCs w:val="22"/>
        </w:rPr>
      </w:pPr>
      <w:r>
        <w:rPr>
          <w:sz w:val="22"/>
          <w:szCs w:val="22"/>
        </w:rPr>
      </w:r>
    </w:p>
    <w:p>
      <w:pPr>
        <w:pStyle w:val="BodyTextIndent"/>
        <w:ind w:start="360" w:end="0"/>
        <w:jc w:val="both"/>
        <w:rPr/>
      </w:pPr>
      <w:r>
        <w:rPr>
          <w:sz w:val="22"/>
          <w:szCs w:val="22"/>
        </w:rPr>
        <w:t>Toutefois, les parties conviennent que chacune d’elles pourra le résilier à tout moment, sans aucune formalité, à la condition que « Le Fournisseur » ait remboursé à « L’Exportateur » l’intégralité du montant du financement qui lui a été octroyé.</w:t>
      </w:r>
    </w:p>
    <w:p>
      <w:pPr>
        <w:pStyle w:val="BodyTextIndent"/>
        <w:ind w:start="360" w:end="0"/>
        <w:jc w:val="both"/>
        <w:rPr>
          <w:sz w:val="22"/>
          <w:szCs w:val="22"/>
        </w:rPr>
      </w:pPr>
      <w:r>
        <w:rPr>
          <w:sz w:val="22"/>
          <w:szCs w:val="22"/>
        </w:rPr>
      </w:r>
    </w:p>
    <w:p>
      <w:pPr>
        <w:pStyle w:val="BodyTextIndent"/>
        <w:ind w:start="360" w:end="0"/>
        <w:jc w:val="both"/>
        <w:rPr>
          <w:sz w:val="22"/>
          <w:szCs w:val="22"/>
        </w:rPr>
      </w:pPr>
      <w:r>
        <w:rPr>
          <w:sz w:val="22"/>
          <w:szCs w:val="22"/>
        </w:rPr>
      </w:r>
    </w:p>
    <w:p>
      <w:pPr>
        <w:pStyle w:val="BodyTextIndent"/>
        <w:ind w:start="360" w:end="0"/>
        <w:jc w:val="both"/>
        <w:rPr>
          <w:sz w:val="22"/>
          <w:szCs w:val="22"/>
        </w:rPr>
      </w:pPr>
      <w:r>
        <w:rPr>
          <w:sz w:val="22"/>
          <w:szCs w:val="22"/>
        </w:rPr>
      </w:r>
    </w:p>
    <w:p>
      <w:pPr>
        <w:pStyle w:val="BodyTextIndent"/>
        <w:ind w:start="0" w:end="0"/>
        <w:jc w:val="center"/>
        <w:rPr>
          <w:sz w:val="22"/>
          <w:szCs w:val="22"/>
        </w:rPr>
      </w:pPr>
      <w:r>
        <w:rPr>
          <w:sz w:val="22"/>
          <w:szCs w:val="22"/>
        </w:rPr>
        <w:t>Fait à Abidjan, le ../../2…</w:t>
      </w:r>
    </w:p>
    <w:p>
      <w:pPr>
        <w:pStyle w:val="BodyTextIndent"/>
        <w:ind w:firstLine="348" w:start="3192" w:end="0"/>
        <w:jc w:val="center"/>
        <w:rPr>
          <w:sz w:val="22"/>
          <w:szCs w:val="22"/>
        </w:rPr>
      </w:pPr>
      <w:r>
        <w:rPr>
          <w:sz w:val="22"/>
          <w:szCs w:val="22"/>
        </w:rPr>
      </w:r>
    </w:p>
    <w:p>
      <w:pPr>
        <w:pStyle w:val="BodyTextIndent"/>
        <w:ind w:start="0" w:end="0"/>
        <w:jc w:val="both"/>
        <w:rPr/>
      </w:pPr>
      <w:r>
        <w:rPr>
          <w:sz w:val="22"/>
          <w:szCs w:val="22"/>
        </w:rPr>
        <w:tab/>
        <w:tab/>
        <w:tab/>
        <w:tab/>
        <w:tab/>
        <w:t xml:space="preserve">     En deux (2) exemplaires originaux.</w:t>
      </w:r>
    </w:p>
    <w:p>
      <w:pPr>
        <w:pStyle w:val="BodyTextIndent"/>
        <w:ind w:start="0" w:end="0"/>
        <w:jc w:val="both"/>
        <w:rPr>
          <w:sz w:val="22"/>
          <w:szCs w:val="22"/>
        </w:rPr>
      </w:pPr>
      <w:r>
        <w:rPr>
          <w:sz w:val="22"/>
          <w:szCs w:val="22"/>
        </w:rPr>
      </w:r>
    </w:p>
    <w:p>
      <w:pPr>
        <w:pStyle w:val="BodyTextIndent"/>
        <w:ind w:start="0" w:end="0"/>
        <w:jc w:val="both"/>
        <w:rPr>
          <w:sz w:val="22"/>
          <w:szCs w:val="22"/>
        </w:rPr>
      </w:pPr>
      <w:r>
        <w:rPr>
          <w:sz w:val="22"/>
          <w:szCs w:val="22"/>
        </w:rPr>
      </w:r>
    </w:p>
    <w:p>
      <w:pPr>
        <w:pStyle w:val="BodyTextIndent"/>
        <w:ind w:start="0" w:end="0"/>
        <w:jc w:val="both"/>
        <w:rPr>
          <w:sz w:val="22"/>
          <w:szCs w:val="22"/>
        </w:rPr>
      </w:pPr>
      <w:r>
        <w:rPr>
          <w:sz w:val="22"/>
          <w:szCs w:val="22"/>
        </w:rPr>
      </w:r>
    </w:p>
    <w:p>
      <w:pPr>
        <w:pStyle w:val="BodyTextIndent"/>
        <w:ind w:start="0" w:end="0"/>
        <w:jc w:val="both"/>
        <w:rPr>
          <w:sz w:val="22"/>
          <w:szCs w:val="22"/>
        </w:rPr>
      </w:pPr>
      <w:r>
        <w:rPr>
          <w:sz w:val="22"/>
          <w:szCs w:val="22"/>
        </w:rPr>
      </w:r>
    </w:p>
    <w:p>
      <w:pPr>
        <w:pStyle w:val="BodyTextIndent"/>
        <w:ind w:firstLine="426" w:start="0" w:end="0"/>
        <w:jc w:val="both"/>
        <w:rPr>
          <w:sz w:val="22"/>
          <w:szCs w:val="22"/>
        </w:rPr>
      </w:pPr>
      <w:r>
        <w:rPr>
          <w:b/>
          <w:bCs/>
          <w:sz w:val="22"/>
          <w:szCs w:val="22"/>
        </w:rPr>
        <w:t>« L’Exportateur »</w:t>
      </w:r>
      <w:r>
        <w:rPr>
          <w:sz w:val="22"/>
          <w:szCs w:val="22"/>
        </w:rPr>
        <w:tab/>
        <w:t xml:space="preserve">       </w:t>
        <w:tab/>
        <w:tab/>
        <w:tab/>
        <w:tab/>
        <w:tab/>
        <w:tab/>
        <w:tab/>
        <w:t xml:space="preserve">                  «</w:t>
      </w:r>
      <w:r>
        <w:rPr>
          <w:b/>
          <w:bCs/>
          <w:sz w:val="22"/>
          <w:szCs w:val="22"/>
        </w:rPr>
        <w:t xml:space="preserve"> Le Fournisseur »</w:t>
      </w:r>
    </w:p>
    <w:p>
      <w:pPr>
        <w:pStyle w:val="Normal"/>
        <w:rPr>
          <w:sz w:val="22"/>
          <w:szCs w:val="22"/>
        </w:rPr>
      </w:pPr>
      <w:r>
        <w:rPr>
          <w:sz w:val="22"/>
          <w:szCs w:val="22"/>
        </w:rPr>
      </w:r>
    </w:p>
    <w:sectPr>
      <w:headerReference w:type="default" r:id="rId2"/>
      <w:footerReference w:type="default" r:id="rId3"/>
      <w:type w:val="nextPage"/>
      <w:pgSz w:w="12240" w:h="15840"/>
      <w:pgMar w:left="680" w:right="737" w:gutter="0" w:header="283" w:top="1418"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Arial Narro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lang w:val="fr-FR"/>
      </w:rPr>
      <w:t xml:space="preserve"> </w:t>
    </w:r>
    <w:r>
      <w:rPr>
        <w:b/>
        <w:bCs/>
        <w:sz w:val="22"/>
        <w:szCs w:val="22"/>
      </w:rPr>
      <w:fldChar w:fldCharType="begin"/>
    </w:r>
    <w:r>
      <w:rPr>
        <w:sz w:val="22"/>
        <w:b/>
        <w:szCs w:val="22"/>
        <w:bCs/>
      </w:rPr>
      <w:instrText xml:space="preserve"> PAGE </w:instrText>
    </w:r>
    <w:r>
      <w:rPr>
        <w:sz w:val="22"/>
        <w:b/>
        <w:szCs w:val="22"/>
        <w:bCs/>
      </w:rPr>
      <w:fldChar w:fldCharType="separate"/>
    </w:r>
    <w:r>
      <w:rPr>
        <w:sz w:val="22"/>
        <w:b/>
        <w:szCs w:val="22"/>
        <w:bCs/>
      </w:rPr>
      <w:t>3</w:t>
    </w:r>
    <w:r>
      <w:rPr>
        <w:sz w:val="22"/>
        <w:b/>
        <w:szCs w:val="22"/>
        <w:bCs/>
      </w:rPr>
      <w:fldChar w:fldCharType="end"/>
    </w:r>
    <w:r>
      <w:rPr>
        <w:b/>
        <w:bCs/>
        <w:sz w:val="22"/>
        <w:szCs w:val="22"/>
        <w:lang w:val="fr-FR"/>
      </w:rPr>
      <w:t>/</w:t>
    </w:r>
    <w:r>
      <w:rPr>
        <w:b/>
        <w:bCs/>
        <w:sz w:val="22"/>
        <w:szCs w:val="22"/>
      </w:rPr>
      <w:fldChar w:fldCharType="begin"/>
    </w:r>
    <w:r>
      <w:rPr>
        <w:sz w:val="22"/>
        <w:b/>
        <w:szCs w:val="22"/>
        <w:bCs/>
      </w:rPr>
      <w:instrText xml:space="preserve"> NUMPAGES \* ARABIC </w:instrText>
    </w:r>
    <w:r>
      <w:rPr>
        <w:sz w:val="22"/>
        <w:b/>
        <w:szCs w:val="22"/>
        <w:bCs/>
      </w:rPr>
      <w:fldChar w:fldCharType="separate"/>
    </w:r>
    <w:r>
      <w:rPr>
        <w:sz w:val="22"/>
        <w:b/>
        <w:szCs w:val="22"/>
        <w:bCs/>
      </w:rPr>
      <w:t>3</w:t>
    </w:r>
    <w:r>
      <w:rPr>
        <w:sz w:val="22"/>
        <w:b/>
        <w:szCs w:val="22"/>
        <w:bCs/>
      </w:rPr>
      <w:fldChar w:fldCharType="end"/>
    </w:r>
  </w:p>
  <w:p>
    <w:pPr>
      <w:pStyle w:val="Footer"/>
      <w:tabs>
        <w:tab w:val="clear" w:pos="8640"/>
        <w:tab w:val="center" w:pos="4320" w:leader="none"/>
        <w:tab w:val="right" w:pos="7380" w:leader="none"/>
      </w:tabs>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18"/>
        <w:szCs w:val="18"/>
        <w:lang w:val="en-US" w:eastAsia="en-US"/>
      </w:rPr>
    </w:pPr>
    <w:r>
      <w:rPr>
        <w:sz w:val="18"/>
        <w:szCs w:val="18"/>
        <w:lang w:val="en-US" w:eastAsia="en-US"/>
      </w:rPr>
      <w:drawing>
        <wp:anchor behindDoc="1" distT="0" distB="0" distL="114935" distR="114935" simplePos="0" locked="0" layoutInCell="1" allowOverlap="1" relativeHeight="4">
          <wp:simplePos x="0" y="0"/>
          <wp:positionH relativeFrom="column">
            <wp:posOffset>-431800</wp:posOffset>
          </wp:positionH>
          <wp:positionV relativeFrom="paragraph">
            <wp:posOffset>-179070</wp:posOffset>
          </wp:positionV>
          <wp:extent cx="1127760" cy="1127760"/>
          <wp:effectExtent l="0" t="0" r="0" b="0"/>
          <wp:wrapNone/>
          <wp:docPr id="1" name="Ima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title=""/>
                  <pic:cNvPicPr>
                    <a:picLocks noChangeAspect="1" noChangeArrowheads="1"/>
                  </pic:cNvPicPr>
                </pic:nvPicPr>
                <pic:blipFill>
                  <a:blip r:embed="rId1"/>
                  <a:srcRect l="-20" t="-20" r="-20" b="-20"/>
                  <a:stretch>
                    <a:fillRect/>
                  </a:stretch>
                </pic:blipFill>
                <pic:spPr bwMode="auto">
                  <a:xfrm>
                    <a:off x="0" y="0"/>
                    <a:ext cx="1127760" cy="112776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4"/>
      <w:numFmt w:val="decimal"/>
      <w:lvlText w:val="%1"/>
      <w:lvlJc w:val="start"/>
      <w:pPr>
        <w:tabs>
          <w:tab w:val="num" w:pos="360"/>
        </w:tabs>
        <w:ind w:start="360" w:hanging="360"/>
      </w:pPr>
      <w:rPr/>
    </w:lvl>
    <w:lvl w:ilvl="1">
      <w:start w:val="1"/>
      <w:numFmt w:val="decimal"/>
      <w:lvlText w:val="%1.%2"/>
      <w:lvlJc w:val="start"/>
      <w:pPr>
        <w:tabs>
          <w:tab w:val="num" w:pos="1440"/>
        </w:tabs>
        <w:ind w:start="1440" w:hanging="360"/>
      </w:pPr>
      <w:rPr/>
    </w:lvl>
    <w:lvl w:ilvl="2">
      <w:start w:val="1"/>
      <w:numFmt w:val="decimal"/>
      <w:lvlText w:val="%1.%2.%3"/>
      <w:lvlJc w:val="start"/>
      <w:pPr>
        <w:tabs>
          <w:tab w:val="num" w:pos="2880"/>
        </w:tabs>
        <w:ind w:start="2880" w:hanging="720"/>
      </w:pPr>
      <w:rPr>
        <w:b/>
      </w:rPr>
    </w:lvl>
    <w:lvl w:ilvl="3">
      <w:start w:val="1"/>
      <w:numFmt w:val="decimal"/>
      <w:lvlText w:val="%1.%2.%3.%4"/>
      <w:lvlJc w:val="start"/>
      <w:pPr>
        <w:tabs>
          <w:tab w:val="num" w:pos="3960"/>
        </w:tabs>
        <w:ind w:start="3960" w:hanging="720"/>
      </w:pPr>
      <w:rPr>
        <w:b/>
      </w:rPr>
    </w:lvl>
    <w:lvl w:ilvl="4">
      <w:start w:val="1"/>
      <w:numFmt w:val="decimal"/>
      <w:lvlText w:val="%1.%2.%3.%4.%5"/>
      <w:lvlJc w:val="start"/>
      <w:pPr>
        <w:tabs>
          <w:tab w:val="num" w:pos="5400"/>
        </w:tabs>
        <w:ind w:start="5400" w:hanging="1080"/>
      </w:pPr>
      <w:rPr/>
    </w:lvl>
    <w:lvl w:ilvl="5">
      <w:start w:val="1"/>
      <w:numFmt w:val="decimal"/>
      <w:lvlText w:val="%1.%2.%3.%4.%5.%6"/>
      <w:lvlJc w:val="start"/>
      <w:pPr>
        <w:tabs>
          <w:tab w:val="num" w:pos="6480"/>
        </w:tabs>
        <w:ind w:start="6480" w:hanging="1080"/>
      </w:pPr>
      <w:rPr/>
    </w:lvl>
    <w:lvl w:ilvl="6">
      <w:start w:val="1"/>
      <w:numFmt w:val="decimal"/>
      <w:lvlText w:val="%1.%2.%3.%4.%5.%6.%7"/>
      <w:lvlJc w:val="start"/>
      <w:pPr>
        <w:tabs>
          <w:tab w:val="num" w:pos="7920"/>
        </w:tabs>
        <w:ind w:start="7920" w:hanging="1440"/>
      </w:pPr>
      <w:rPr/>
    </w:lvl>
    <w:lvl w:ilvl="7">
      <w:start w:val="1"/>
      <w:numFmt w:val="decimal"/>
      <w:lvlText w:val="%1.%2.%3.%4.%5.%6.%7.%8"/>
      <w:lvlJc w:val="start"/>
      <w:pPr>
        <w:tabs>
          <w:tab w:val="num" w:pos="9000"/>
        </w:tabs>
        <w:ind w:start="9000" w:hanging="1440"/>
      </w:pPr>
      <w:rPr/>
    </w:lvl>
    <w:lvl w:ilvl="8">
      <w:start w:val="1"/>
      <w:numFmt w:val="decimal"/>
      <w:lvlText w:val="%1.%2.%3.%4.%5.%6.%7.%8.%9"/>
      <w:lvlJc w:val="start"/>
      <w:pPr>
        <w:tabs>
          <w:tab w:val="num" w:pos="10080"/>
        </w:tabs>
        <w:ind w:start="10080" w:hanging="144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4">
    <w:name w:val="Heading 4"/>
    <w:basedOn w:val="Normal"/>
    <w:next w:val="Normal"/>
    <w:qFormat/>
    <w:pPr>
      <w:keepNext w:val="true"/>
      <w:numPr>
        <w:ilvl w:val="3"/>
        <w:numId w:val="1"/>
      </w:numPr>
      <w:ind w:hanging="0" w:start="360" w:end="0"/>
      <w:jc w:val="both"/>
      <w:outlineLvl w:val="3"/>
    </w:pPr>
    <w:rPr>
      <w:rFonts w:ascii="Arial Narrow" w:hAnsi="Arial Narrow" w:cs="Arial Narrow"/>
      <w:b/>
      <w:bCs/>
      <w:szCs w:val="20"/>
      <w:u w:val="single"/>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2z2">
    <w:name w:val="WW8Num2z2"/>
    <w:qFormat/>
    <w:rPr>
      <w:b/>
    </w:rPr>
  </w:style>
  <w:style w:type="character" w:styleId="Policepardfaut">
    <w:name w:val="Police par défaut"/>
    <w:qFormat/>
    <w:rPr/>
  </w:style>
  <w:style w:type="character" w:styleId="Hyperlink">
    <w:name w:val="Hyperlink"/>
    <w:rPr>
      <w:color w:val="0000FF"/>
      <w:u w:val="single"/>
    </w:rPr>
  </w:style>
  <w:style w:type="character" w:styleId="CorpsdetexteCar">
    <w:name w:val="Corps de texte Car"/>
    <w:qFormat/>
    <w:rPr>
      <w:rFonts w:ascii="Arial Narrow" w:hAnsi="Arial Narrow" w:cs="Arial Narrow"/>
      <w:sz w:val="24"/>
      <w:lang w:val="fr-FR" w:bidi="ar-SA"/>
    </w:rPr>
  </w:style>
  <w:style w:type="character" w:styleId="PieddepageCar">
    <w:name w:val="Pied de page Car"/>
    <w:qFormat/>
    <w:rPr>
      <w:sz w:val="24"/>
      <w:lang w:val="en-US"/>
    </w:rPr>
  </w:style>
  <w:style w:type="character" w:styleId="En-tteCar">
    <w:name w:val="En-tête Car"/>
    <w:qFormat/>
    <w:rPr>
      <w:sz w:val="24"/>
      <w:lang w:val="en-US"/>
    </w:rPr>
  </w:style>
  <w:style w:type="paragraph" w:styleId="Heading">
    <w:name w:val="Heading"/>
    <w:basedOn w:val="Normal"/>
    <w:next w:val="BodyText"/>
    <w:qFormat/>
    <w:pPr>
      <w:jc w:val="center"/>
    </w:pPr>
    <w:rPr>
      <w:b/>
      <w:sz w:val="96"/>
      <w:szCs w:val="20"/>
    </w:rPr>
  </w:style>
  <w:style w:type="paragraph" w:styleId="BodyText">
    <w:name w:val="Body Text"/>
    <w:basedOn w:val="Normal"/>
    <w:pPr>
      <w:jc w:val="both"/>
    </w:pPr>
    <w:rPr>
      <w:rFonts w:ascii="Arial Narrow" w:hAnsi="Arial Narrow" w:cs="Arial Narrow"/>
      <w:szCs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320" w:leader="none"/>
        <w:tab w:val="right" w:pos="8640" w:leader="none"/>
      </w:tabs>
    </w:pPr>
    <w:rPr>
      <w:szCs w:val="20"/>
      <w:lang w:val="en-US"/>
    </w:rPr>
  </w:style>
  <w:style w:type="paragraph" w:styleId="Footer">
    <w:name w:val="Footer"/>
    <w:basedOn w:val="Normal"/>
    <w:pPr>
      <w:tabs>
        <w:tab w:val="clear" w:pos="708"/>
        <w:tab w:val="center" w:pos="4320" w:leader="none"/>
        <w:tab w:val="right" w:pos="8640" w:leader="none"/>
      </w:tabs>
    </w:pPr>
    <w:rPr>
      <w:szCs w:val="20"/>
      <w:lang w:val="en-US"/>
    </w:rPr>
  </w:style>
  <w:style w:type="paragraph" w:styleId="Textedebulles">
    <w:name w:val="Texte de bulles"/>
    <w:basedOn w:val="Normal"/>
    <w:qFormat/>
    <w:pPr/>
    <w:rPr>
      <w:rFonts w:ascii="Tahoma" w:hAnsi="Tahoma" w:cs="Tahoma"/>
      <w:sz w:val="16"/>
      <w:szCs w:val="16"/>
    </w:rPr>
  </w:style>
  <w:style w:type="paragraph" w:styleId="BodyTextIndent">
    <w:name w:val="Body Text Indent"/>
    <w:basedOn w:val="Normal"/>
    <w:pPr>
      <w:ind w:hanging="0" w:start="2410" w:end="0"/>
    </w:pPr>
    <w:rPr>
      <w:szCs w:val="20"/>
    </w:rPr>
  </w:style>
  <w:style w:type="paragraph" w:styleId="Retraitcorpsdetexte2">
    <w:name w:val="Retrait corps de texte 2"/>
    <w:basedOn w:val="Normal"/>
    <w:qFormat/>
    <w:pPr>
      <w:ind w:hanging="0" w:start="360" w:end="0"/>
    </w:pPr>
    <w:rPr>
      <w:szCs w:val="20"/>
    </w:rPr>
  </w:style>
  <w:style w:type="paragraph" w:styleId="Explorateurdedocuments">
    <w:name w:val="Explorateur de documents"/>
    <w:basedOn w:val="Normal"/>
    <w:qFormat/>
    <w:pPr>
      <w:shd w:fill="000080" w:val="clear"/>
    </w:pPr>
    <w:rPr>
      <w:rFonts w:ascii="Tahoma" w:hAnsi="Tahoma" w:cs="Tahoma"/>
      <w:sz w:val="20"/>
      <w:szCs w:val="20"/>
    </w:rPr>
  </w:style>
  <w:style w:type="paragraph" w:styleId="Paragraphedeliste">
    <w:name w:val="Paragraphe de liste"/>
    <w:basedOn w:val="Normal"/>
    <w:qFormat/>
    <w:pPr>
      <w:ind w:hanging="0" w:start="708" w:end="0"/>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2022-11-17T11:13:00Z</dcterms:created>
  <dc:creator>Kouame Thomas</dc:creator>
  <dc:description/>
  <cp:keywords/>
  <dc:language>en-US</dc:language>
  <cp:lastModifiedBy>Nabi.Ouague | Ecorigine</cp:lastModifiedBy>
  <cp:lastPrinted>2022-12-12T19:49:00Z</cp:lastPrinted>
  <dcterms:modified xsi:type="dcterms:W3CDTF">2026-10-27T10:20:00Z</dcterms:modified>
  <cp:revision>8</cp:revision>
  <dc:subject/>
  <dc:title>FAX TRANSMISSION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0x0101004BF76E067360994A9E0D5027B2A1726C</vt:lpwstr>
  </property>
</Properties>
</file>