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00D6" w14:textId="14E13BDB" w:rsidR="005D16CE" w:rsidRDefault="005D16CE" w:rsidP="00E601F5">
      <w:pPr>
        <w:spacing w:line="360" w:lineRule="auto"/>
        <w:jc w:val="center"/>
        <w:rPr>
          <w:rStyle w:val="IntenseEmphasis"/>
        </w:rPr>
      </w:pPr>
      <w:r w:rsidRPr="00E601F5">
        <w:rPr>
          <w:rStyle w:val="IntenseEmphasis"/>
        </w:rPr>
        <w:t>Disclaimer – This tool is for informational purposes only.</w:t>
      </w:r>
      <w:r w:rsidR="003C0864" w:rsidRPr="00E601F5">
        <w:rPr>
          <w:rStyle w:val="IntenseEmphasis"/>
        </w:rPr>
        <w:t xml:space="preserve"> The calculations in this program are based on the American Diabetes Association (ADA) recommend guidelines. </w:t>
      </w:r>
      <w:r w:rsidRPr="00E601F5">
        <w:rPr>
          <w:rStyle w:val="IntenseEmphasis"/>
        </w:rPr>
        <w:t xml:space="preserve">Never administer </w:t>
      </w:r>
      <w:r w:rsidR="003C0864" w:rsidRPr="00E601F5">
        <w:rPr>
          <w:rStyle w:val="IntenseEmphasis"/>
        </w:rPr>
        <w:t>or adjust insulin medication without proper education from a medical professional.</w:t>
      </w:r>
    </w:p>
    <w:p w14:paraId="1FC20B7D" w14:textId="723F8676" w:rsidR="00110F73" w:rsidRDefault="00110F73" w:rsidP="00E601F5">
      <w:pPr>
        <w:spacing w:line="360" w:lineRule="auto"/>
        <w:jc w:val="center"/>
        <w:rPr>
          <w:rStyle w:val="IntenseEmphasis"/>
        </w:rPr>
      </w:pPr>
    </w:p>
    <w:p w14:paraId="0A1644B9" w14:textId="77777777" w:rsidR="00110F73" w:rsidRPr="00E601F5" w:rsidRDefault="00110F73" w:rsidP="00E601F5">
      <w:pPr>
        <w:spacing w:line="360" w:lineRule="auto"/>
        <w:jc w:val="center"/>
        <w:rPr>
          <w:rStyle w:val="IntenseEmphasis"/>
        </w:rPr>
      </w:pPr>
    </w:p>
    <w:tbl>
      <w:tblPr>
        <w:tblStyle w:val="TableGrid"/>
        <w:tblW w:w="11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5096"/>
        <w:gridCol w:w="5496"/>
      </w:tblGrid>
      <w:tr w:rsidR="00B42F42" w14:paraId="6DC40621" w14:textId="77777777" w:rsidTr="00110F73">
        <w:tc>
          <w:tcPr>
            <w:tcW w:w="625" w:type="dxa"/>
            <w:vAlign w:val="center"/>
          </w:tcPr>
          <w:p w14:paraId="333F357F" w14:textId="77777777" w:rsidR="00E601F5" w:rsidRDefault="00E601F5" w:rsidP="00A5330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608" w:type="dxa"/>
            <w:vAlign w:val="center"/>
          </w:tcPr>
          <w:p w14:paraId="38257ACD" w14:textId="77777777" w:rsidR="00E601F5" w:rsidRPr="00AA7A01" w:rsidRDefault="00E601F5" w:rsidP="00EF5893">
            <w:pPr>
              <w:rPr>
                <w:sz w:val="28"/>
                <w:szCs w:val="28"/>
              </w:rPr>
            </w:pPr>
            <w:r w:rsidRPr="00AA7A01">
              <w:rPr>
                <w:sz w:val="28"/>
                <w:szCs w:val="28"/>
              </w:rPr>
              <w:t>This tool utilizes recorded settings. If settings have not been recorded yet, users will be prompted to create their preset values before being able to use the calculations.</w:t>
            </w:r>
          </w:p>
          <w:p w14:paraId="1AF40588" w14:textId="77777777" w:rsidR="00E601F5" w:rsidRPr="00AA7A01" w:rsidRDefault="00E601F5">
            <w:pPr>
              <w:rPr>
                <w:sz w:val="28"/>
                <w:szCs w:val="28"/>
              </w:rPr>
            </w:pPr>
          </w:p>
        </w:tc>
        <w:tc>
          <w:tcPr>
            <w:tcW w:w="4922" w:type="dxa"/>
            <w:vAlign w:val="center"/>
          </w:tcPr>
          <w:p w14:paraId="1E84F552" w14:textId="65CC9841" w:rsidR="00E601F5" w:rsidRDefault="00EF5893">
            <w:r w:rsidRPr="00EF5893">
              <w:rPr>
                <w:noProof/>
              </w:rPr>
              <w:drawing>
                <wp:inline distT="0" distB="0" distL="0" distR="0" wp14:anchorId="74F9E4A7" wp14:editId="37E1460A">
                  <wp:extent cx="3075812" cy="2228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316" cy="2298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F42" w14:paraId="09630001" w14:textId="77777777" w:rsidTr="00110F73">
        <w:tc>
          <w:tcPr>
            <w:tcW w:w="625" w:type="dxa"/>
            <w:vAlign w:val="center"/>
          </w:tcPr>
          <w:p w14:paraId="142C1ACC" w14:textId="77777777" w:rsidR="00E601F5" w:rsidRDefault="00E601F5" w:rsidP="00A5330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608" w:type="dxa"/>
            <w:vAlign w:val="center"/>
          </w:tcPr>
          <w:p w14:paraId="7B0CD2DB" w14:textId="1ACEC441" w:rsidR="00E601F5" w:rsidRPr="00AA7A01" w:rsidRDefault="00A53305">
            <w:pPr>
              <w:rPr>
                <w:sz w:val="28"/>
                <w:szCs w:val="28"/>
              </w:rPr>
            </w:pPr>
            <w:r w:rsidRPr="00AA7A01">
              <w:rPr>
                <w:sz w:val="28"/>
                <w:szCs w:val="28"/>
              </w:rPr>
              <w:t xml:space="preserve">To record the required settings, click on the </w:t>
            </w:r>
            <w:r w:rsidRPr="00AA7A01">
              <w:rPr>
                <w:b/>
                <w:bCs/>
                <w:sz w:val="28"/>
                <w:szCs w:val="28"/>
              </w:rPr>
              <w:t>Settings</w:t>
            </w:r>
            <w:r w:rsidRPr="00AA7A01">
              <w:rPr>
                <w:sz w:val="28"/>
                <w:szCs w:val="28"/>
              </w:rPr>
              <w:t xml:space="preserve"> button.</w:t>
            </w:r>
          </w:p>
        </w:tc>
        <w:tc>
          <w:tcPr>
            <w:tcW w:w="4922" w:type="dxa"/>
            <w:vAlign w:val="center"/>
          </w:tcPr>
          <w:p w14:paraId="36021817" w14:textId="32C50606" w:rsidR="00E601F5" w:rsidRDefault="00A53305">
            <w:r w:rsidRPr="00A53305">
              <w:rPr>
                <w:noProof/>
              </w:rPr>
              <w:drawing>
                <wp:inline distT="0" distB="0" distL="0" distR="0" wp14:anchorId="14BB6441" wp14:editId="40E5D16C">
                  <wp:extent cx="3152436" cy="26574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4404" cy="2709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F42" w14:paraId="7CEBBCDA" w14:textId="77777777" w:rsidTr="00110F73">
        <w:tc>
          <w:tcPr>
            <w:tcW w:w="625" w:type="dxa"/>
            <w:vAlign w:val="center"/>
          </w:tcPr>
          <w:p w14:paraId="3603CB14" w14:textId="77777777" w:rsidR="00E601F5" w:rsidRDefault="00E601F5" w:rsidP="00A5330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608" w:type="dxa"/>
            <w:vAlign w:val="center"/>
          </w:tcPr>
          <w:p w14:paraId="490D021B" w14:textId="77777777" w:rsidR="00E601F5" w:rsidRDefault="00A53305">
            <w:pPr>
              <w:rPr>
                <w:sz w:val="28"/>
                <w:szCs w:val="28"/>
              </w:rPr>
            </w:pPr>
            <w:r w:rsidRPr="00AA7A01">
              <w:rPr>
                <w:sz w:val="28"/>
                <w:szCs w:val="28"/>
              </w:rPr>
              <w:t xml:space="preserve">Enter the appropriate </w:t>
            </w:r>
            <w:r w:rsidRPr="00AA7A01">
              <w:rPr>
                <w:b/>
                <w:bCs/>
                <w:sz w:val="28"/>
                <w:szCs w:val="28"/>
              </w:rPr>
              <w:t xml:space="preserve">Insulin:Carb </w:t>
            </w:r>
            <w:r w:rsidRPr="00AA7A01">
              <w:rPr>
                <w:sz w:val="28"/>
                <w:szCs w:val="28"/>
              </w:rPr>
              <w:t xml:space="preserve">ratio and </w:t>
            </w:r>
            <w:r w:rsidRPr="005C71BA">
              <w:rPr>
                <w:b/>
                <w:bCs/>
                <w:sz w:val="28"/>
                <w:szCs w:val="28"/>
              </w:rPr>
              <w:t>Correction</w:t>
            </w:r>
            <w:r w:rsidRPr="00AA7A01">
              <w:rPr>
                <w:sz w:val="28"/>
                <w:szCs w:val="28"/>
              </w:rPr>
              <w:t xml:space="preserve"> factor. </w:t>
            </w:r>
            <w:r w:rsidR="00AA7A01" w:rsidRPr="00AA7A01">
              <w:rPr>
                <w:sz w:val="28"/>
                <w:szCs w:val="28"/>
              </w:rPr>
              <w:t>Click Save to record those values</w:t>
            </w:r>
          </w:p>
          <w:p w14:paraId="68787822" w14:textId="77777777" w:rsidR="005C71BA" w:rsidRDefault="005C71BA">
            <w:pPr>
              <w:rPr>
                <w:sz w:val="28"/>
                <w:szCs w:val="28"/>
              </w:rPr>
            </w:pPr>
          </w:p>
          <w:p w14:paraId="4A929841" w14:textId="0A4CF31A" w:rsidR="005C71BA" w:rsidRPr="00AA7A01" w:rsidRDefault="005C7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additional information on Insulin:Carb ratios and Correction Factors visit: </w:t>
            </w:r>
            <w:hyperlink r:id="rId9" w:anchor=":~:text=The%20insulin%2Dto%2Dcarb%20ratio,grams%20of%20carbohydrate%20you%20eat." w:history="1">
              <w:r w:rsidRPr="005C71BA">
                <w:rPr>
                  <w:rStyle w:val="Hyperlink"/>
                  <w:sz w:val="28"/>
                  <w:szCs w:val="28"/>
                </w:rPr>
                <w:t>Insulin-to-carb ratios to calculate meal insulin doses with type 1 diabetes</w:t>
              </w:r>
            </w:hyperlink>
            <w:r>
              <w:rPr>
                <w:sz w:val="28"/>
                <w:szCs w:val="28"/>
              </w:rPr>
              <w:t xml:space="preserve"> and </w:t>
            </w:r>
            <w:hyperlink r:id="rId10" w:anchor=":~:text=A%20Correction%20Factor%20(sometimes%20called,as%20your%20baseline%20dose%20changes" w:history="1">
              <w:r w:rsidRPr="005C71BA">
                <w:rPr>
                  <w:rStyle w:val="Hyperlink"/>
                  <w:sz w:val="28"/>
                  <w:szCs w:val="28"/>
                </w:rPr>
                <w:t>What’s a Correction Factor?...</w:t>
              </w:r>
            </w:hyperlink>
            <w:r>
              <w:rPr>
                <w:sz w:val="28"/>
                <w:szCs w:val="28"/>
              </w:rPr>
              <w:t xml:space="preserve">or consult your doctor/diabetes educator. </w:t>
            </w:r>
          </w:p>
        </w:tc>
        <w:tc>
          <w:tcPr>
            <w:tcW w:w="4922" w:type="dxa"/>
            <w:vAlign w:val="center"/>
          </w:tcPr>
          <w:p w14:paraId="74E7D538" w14:textId="69E4761F" w:rsidR="00E601F5" w:rsidRDefault="00A53305">
            <w:r w:rsidRPr="00A53305">
              <w:rPr>
                <w:noProof/>
              </w:rPr>
              <w:drawing>
                <wp:inline distT="0" distB="0" distL="0" distR="0" wp14:anchorId="7C947BE5" wp14:editId="77CA063E">
                  <wp:extent cx="3156033" cy="2676525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041" cy="2717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F42" w14:paraId="017FED29" w14:textId="77777777" w:rsidTr="00110F73">
        <w:tc>
          <w:tcPr>
            <w:tcW w:w="625" w:type="dxa"/>
            <w:vAlign w:val="center"/>
          </w:tcPr>
          <w:p w14:paraId="7AB8EC9B" w14:textId="77777777" w:rsidR="00E601F5" w:rsidRDefault="00E601F5" w:rsidP="00AA7A01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608" w:type="dxa"/>
            <w:vAlign w:val="center"/>
          </w:tcPr>
          <w:p w14:paraId="2359E86D" w14:textId="52184B19" w:rsidR="00E601F5" w:rsidRPr="00AA7A01" w:rsidRDefault="00AA7A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settings have been recorded, they will display in the main window. Saved settings will be retained for use the next time the tool is opened.</w:t>
            </w:r>
          </w:p>
        </w:tc>
        <w:tc>
          <w:tcPr>
            <w:tcW w:w="4922" w:type="dxa"/>
            <w:vAlign w:val="center"/>
          </w:tcPr>
          <w:p w14:paraId="4B3669A6" w14:textId="0BC8105A" w:rsidR="00E601F5" w:rsidRDefault="00AA7A01">
            <w:r w:rsidRPr="00AA7A01">
              <w:rPr>
                <w:noProof/>
              </w:rPr>
              <w:drawing>
                <wp:inline distT="0" distB="0" distL="0" distR="0" wp14:anchorId="1527FDED" wp14:editId="7BA0C02D">
                  <wp:extent cx="3111645" cy="27336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538" cy="2784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F42" w14:paraId="14D7ED0F" w14:textId="77777777" w:rsidTr="00110F73">
        <w:tc>
          <w:tcPr>
            <w:tcW w:w="625" w:type="dxa"/>
            <w:vAlign w:val="center"/>
          </w:tcPr>
          <w:p w14:paraId="23B9E7EE" w14:textId="77777777" w:rsidR="00E601F5" w:rsidRDefault="00E601F5" w:rsidP="00C74774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608" w:type="dxa"/>
            <w:vAlign w:val="center"/>
          </w:tcPr>
          <w:p w14:paraId="686D2277" w14:textId="77777777" w:rsidR="00E601F5" w:rsidRDefault="00C747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Enter the total carbs for the meal or snack.</w:t>
            </w:r>
          </w:p>
          <w:p w14:paraId="723D9A98" w14:textId="77777777" w:rsidR="00C74774" w:rsidRDefault="00C74774">
            <w:pPr>
              <w:rPr>
                <w:sz w:val="28"/>
                <w:szCs w:val="28"/>
              </w:rPr>
            </w:pPr>
          </w:p>
          <w:p w14:paraId="1793C9B0" w14:textId="77777777" w:rsidR="00C74774" w:rsidRDefault="00C747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Enter the Blood Glucose reading in ml/dL before eating. Note – BG reading should be taken no more than 15 minutes before calculation. </w:t>
            </w:r>
          </w:p>
          <w:p w14:paraId="5C6B96B6" w14:textId="77777777" w:rsidR="005C71BA" w:rsidRDefault="005C71BA">
            <w:pPr>
              <w:rPr>
                <w:sz w:val="28"/>
                <w:szCs w:val="28"/>
              </w:rPr>
            </w:pPr>
          </w:p>
          <w:p w14:paraId="2E036B7B" w14:textId="27A6C347" w:rsidR="005C71BA" w:rsidRPr="00AA7A01" w:rsidRDefault="005C7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more information on counting carbs visit </w:t>
            </w:r>
            <w:hyperlink r:id="rId13" w:history="1">
              <w:r w:rsidRPr="005C71BA">
                <w:rPr>
                  <w:rStyle w:val="Hyperlink"/>
                  <w:sz w:val="28"/>
                  <w:szCs w:val="28"/>
                </w:rPr>
                <w:t>Carb Counting and Diabetes</w:t>
              </w:r>
            </w:hyperlink>
            <w:r>
              <w:rPr>
                <w:sz w:val="28"/>
                <w:szCs w:val="28"/>
              </w:rPr>
              <w:t xml:space="preserve"> or consult your doctor/diabetes educator</w:t>
            </w:r>
          </w:p>
        </w:tc>
        <w:tc>
          <w:tcPr>
            <w:tcW w:w="4922" w:type="dxa"/>
            <w:vAlign w:val="center"/>
          </w:tcPr>
          <w:p w14:paraId="543F20BE" w14:textId="244F9611" w:rsidR="00E601F5" w:rsidRDefault="00C74774">
            <w:r w:rsidRPr="00C74774">
              <w:rPr>
                <w:noProof/>
              </w:rPr>
              <w:drawing>
                <wp:inline distT="0" distB="0" distL="0" distR="0" wp14:anchorId="1C3CD9FA" wp14:editId="030D9F42">
                  <wp:extent cx="3207899" cy="2838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7474" cy="2846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F42" w14:paraId="462124ED" w14:textId="77777777" w:rsidTr="00110F73">
        <w:tc>
          <w:tcPr>
            <w:tcW w:w="625" w:type="dxa"/>
            <w:vAlign w:val="center"/>
          </w:tcPr>
          <w:p w14:paraId="3AAE13F1" w14:textId="77777777" w:rsidR="00E601F5" w:rsidRDefault="00E601F5" w:rsidP="00B42F4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5608" w:type="dxa"/>
            <w:vAlign w:val="center"/>
          </w:tcPr>
          <w:p w14:paraId="433FE6EF" w14:textId="53BC3698" w:rsidR="00E601F5" w:rsidRPr="00AA7A01" w:rsidRDefault="00B42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Click the </w:t>
            </w:r>
            <w:r w:rsidRPr="00B42F42">
              <w:rPr>
                <w:b/>
                <w:bCs/>
                <w:sz w:val="28"/>
                <w:szCs w:val="28"/>
              </w:rPr>
              <w:t>Calculate</w:t>
            </w:r>
            <w:r>
              <w:rPr>
                <w:sz w:val="28"/>
                <w:szCs w:val="28"/>
              </w:rPr>
              <w:t xml:space="preserve"> button to display insulin dose recommendations</w:t>
            </w:r>
          </w:p>
        </w:tc>
        <w:tc>
          <w:tcPr>
            <w:tcW w:w="4922" w:type="dxa"/>
            <w:vAlign w:val="center"/>
          </w:tcPr>
          <w:p w14:paraId="288446A5" w14:textId="77777777" w:rsidR="00E601F5" w:rsidRDefault="00B42F42">
            <w:r w:rsidRPr="00B42F42">
              <w:rPr>
                <w:noProof/>
              </w:rPr>
              <w:drawing>
                <wp:inline distT="0" distB="0" distL="0" distR="0" wp14:anchorId="64CF8BE9" wp14:editId="3C9E7D95">
                  <wp:extent cx="3244381" cy="28575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860" cy="2874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8B2543" w14:textId="55F7ED1A" w:rsidR="00B42F42" w:rsidRDefault="00B42F42">
            <w:r w:rsidRPr="00B42F42">
              <w:rPr>
                <w:noProof/>
              </w:rPr>
              <w:drawing>
                <wp:inline distT="0" distB="0" distL="0" distR="0" wp14:anchorId="234FE65F" wp14:editId="4B45A1E1">
                  <wp:extent cx="3343742" cy="2962688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296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F42" w14:paraId="2AF29D1F" w14:textId="77777777" w:rsidTr="00110F73">
        <w:tc>
          <w:tcPr>
            <w:tcW w:w="625" w:type="dxa"/>
            <w:vAlign w:val="center"/>
          </w:tcPr>
          <w:p w14:paraId="00926AAC" w14:textId="77777777" w:rsidR="00E601F5" w:rsidRDefault="00E601F5" w:rsidP="00A53305"/>
        </w:tc>
        <w:tc>
          <w:tcPr>
            <w:tcW w:w="5608" w:type="dxa"/>
            <w:vAlign w:val="center"/>
          </w:tcPr>
          <w:p w14:paraId="0C130268" w14:textId="77777777" w:rsidR="00E601F5" w:rsidRPr="00AA7A01" w:rsidRDefault="00E601F5">
            <w:pPr>
              <w:rPr>
                <w:sz w:val="28"/>
                <w:szCs w:val="28"/>
              </w:rPr>
            </w:pPr>
          </w:p>
        </w:tc>
        <w:tc>
          <w:tcPr>
            <w:tcW w:w="4922" w:type="dxa"/>
            <w:vAlign w:val="center"/>
          </w:tcPr>
          <w:p w14:paraId="505012EB" w14:textId="77777777" w:rsidR="00E601F5" w:rsidRDefault="00E601F5"/>
        </w:tc>
      </w:tr>
      <w:tr w:rsidR="00B42F42" w14:paraId="49435BCC" w14:textId="77777777" w:rsidTr="00110F73">
        <w:tc>
          <w:tcPr>
            <w:tcW w:w="625" w:type="dxa"/>
            <w:vAlign w:val="center"/>
          </w:tcPr>
          <w:p w14:paraId="38828508" w14:textId="77777777" w:rsidR="00E601F5" w:rsidRDefault="00E601F5" w:rsidP="00A53305"/>
        </w:tc>
        <w:tc>
          <w:tcPr>
            <w:tcW w:w="5608" w:type="dxa"/>
            <w:vAlign w:val="center"/>
          </w:tcPr>
          <w:p w14:paraId="0236446C" w14:textId="77777777" w:rsidR="00E601F5" w:rsidRPr="00AA7A01" w:rsidRDefault="00E601F5">
            <w:pPr>
              <w:rPr>
                <w:sz w:val="28"/>
                <w:szCs w:val="28"/>
              </w:rPr>
            </w:pPr>
          </w:p>
        </w:tc>
        <w:tc>
          <w:tcPr>
            <w:tcW w:w="4922" w:type="dxa"/>
            <w:vAlign w:val="center"/>
          </w:tcPr>
          <w:p w14:paraId="76EBA5C5" w14:textId="77777777" w:rsidR="00E601F5" w:rsidRDefault="00E601F5"/>
        </w:tc>
      </w:tr>
    </w:tbl>
    <w:p w14:paraId="38DD6AC4" w14:textId="77777777" w:rsidR="005D16CE" w:rsidRDefault="005D16CE"/>
    <w:sectPr w:rsidR="005D16CE" w:rsidSect="00C74774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E918B" w14:textId="77777777" w:rsidR="00E51D0D" w:rsidRDefault="00E51D0D" w:rsidP="005C6D1F">
      <w:pPr>
        <w:spacing w:line="240" w:lineRule="auto"/>
      </w:pPr>
      <w:r>
        <w:separator/>
      </w:r>
    </w:p>
  </w:endnote>
  <w:endnote w:type="continuationSeparator" w:id="0">
    <w:p w14:paraId="7B4A607A" w14:textId="77777777" w:rsidR="00E51D0D" w:rsidRDefault="00E51D0D" w:rsidP="005C6D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D9CA1" w14:textId="77777777" w:rsidR="00E51D0D" w:rsidRDefault="00E51D0D" w:rsidP="005C6D1F">
      <w:pPr>
        <w:spacing w:line="240" w:lineRule="auto"/>
      </w:pPr>
      <w:r>
        <w:separator/>
      </w:r>
    </w:p>
  </w:footnote>
  <w:footnote w:type="continuationSeparator" w:id="0">
    <w:p w14:paraId="087BE7F7" w14:textId="77777777" w:rsidR="00E51D0D" w:rsidRDefault="00E51D0D" w:rsidP="005C6D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337"/>
      <w:gridCol w:w="4675"/>
      <w:gridCol w:w="2338"/>
    </w:tblGrid>
    <w:tr w:rsidR="005D16CE" w:rsidRPr="005D16CE" w14:paraId="47CC5E64" w14:textId="77777777" w:rsidTr="00FF7BAE">
      <w:tc>
        <w:tcPr>
          <w:tcW w:w="2337" w:type="dxa"/>
        </w:tcPr>
        <w:p w14:paraId="5F138D52" w14:textId="0F735EFB" w:rsidR="005D16CE" w:rsidRPr="005D16CE" w:rsidRDefault="005D16CE" w:rsidP="005D16CE">
          <w:pPr>
            <w:pStyle w:val="Header"/>
            <w:pBdr>
              <w:bottom w:val="single" w:sz="4" w:space="1" w:color="D9D9D9" w:themeColor="background1" w:themeShade="D9"/>
            </w:pBdr>
            <w:rPr>
              <w:color w:val="7F7F7F" w:themeColor="background1" w:themeShade="7F"/>
              <w:spacing w:val="60"/>
            </w:rPr>
          </w:pPr>
          <w:r w:rsidRPr="005D16CE">
            <w:rPr>
              <w:color w:val="7F7F7F" w:themeColor="background1" w:themeShade="7F"/>
              <w:spacing w:val="60"/>
            </w:rPr>
            <w:t>Nathan Able</w:t>
          </w:r>
        </w:p>
      </w:tc>
      <w:tc>
        <w:tcPr>
          <w:tcW w:w="4675" w:type="dxa"/>
        </w:tcPr>
        <w:p w14:paraId="0C2173DC" w14:textId="77777777" w:rsidR="005D16CE" w:rsidRPr="005D16CE" w:rsidRDefault="005D16CE" w:rsidP="005D16CE">
          <w:pPr>
            <w:pStyle w:val="Header"/>
            <w:pBdr>
              <w:bottom w:val="single" w:sz="4" w:space="1" w:color="D9D9D9" w:themeColor="background1" w:themeShade="D9"/>
            </w:pBdr>
            <w:jc w:val="center"/>
            <w:rPr>
              <w:color w:val="7F7F7F" w:themeColor="background1" w:themeShade="7F"/>
              <w:spacing w:val="60"/>
            </w:rPr>
          </w:pPr>
          <w:r w:rsidRPr="005D16CE">
            <w:rPr>
              <w:color w:val="7F7F7F" w:themeColor="background1" w:themeShade="7F"/>
              <w:spacing w:val="60"/>
            </w:rPr>
            <w:t>Insulin Calculator</w:t>
          </w:r>
        </w:p>
      </w:tc>
      <w:tc>
        <w:tcPr>
          <w:tcW w:w="2338" w:type="dxa"/>
        </w:tcPr>
        <w:p w14:paraId="7A667611" w14:textId="77777777" w:rsidR="005D16CE" w:rsidRPr="005D16CE" w:rsidRDefault="005D16CE" w:rsidP="005D16CE">
          <w:pPr>
            <w:pStyle w:val="Header"/>
            <w:pBdr>
              <w:bottom w:val="single" w:sz="4" w:space="1" w:color="D9D9D9" w:themeColor="background1" w:themeShade="D9"/>
            </w:pBdr>
            <w:jc w:val="right"/>
            <w:rPr>
              <w:color w:val="7F7F7F" w:themeColor="background1" w:themeShade="7F"/>
              <w:spacing w:val="60"/>
            </w:rPr>
          </w:pPr>
          <w:r w:rsidRPr="005D16CE">
            <w:rPr>
              <w:color w:val="7F7F7F" w:themeColor="background1" w:themeShade="7F"/>
              <w:spacing w:val="60"/>
            </w:rPr>
            <w:t>Ver 1.0</w:t>
          </w:r>
        </w:p>
      </w:tc>
    </w:tr>
    <w:tr w:rsidR="005D16CE" w:rsidRPr="005D16CE" w14:paraId="7069E420" w14:textId="77777777" w:rsidTr="00FF7BAE">
      <w:trPr>
        <w:trHeight w:val="70"/>
      </w:trPr>
      <w:tc>
        <w:tcPr>
          <w:tcW w:w="2337" w:type="dxa"/>
        </w:tcPr>
        <w:p w14:paraId="064DF1AE" w14:textId="3A07D473" w:rsidR="005D16CE" w:rsidRPr="005D16CE" w:rsidRDefault="005D16CE" w:rsidP="005D16CE">
          <w:pPr>
            <w:pStyle w:val="Header"/>
            <w:pBdr>
              <w:bottom w:val="single" w:sz="4" w:space="1" w:color="D9D9D9" w:themeColor="background1" w:themeShade="D9"/>
            </w:pBdr>
            <w:rPr>
              <w:color w:val="7F7F7F" w:themeColor="background1" w:themeShade="7F"/>
              <w:spacing w:val="60"/>
            </w:rPr>
          </w:pPr>
          <w:r w:rsidRPr="005D16CE">
            <w:rPr>
              <w:color w:val="7F7F7F" w:themeColor="background1" w:themeShade="7F"/>
              <w:spacing w:val="60"/>
            </w:rPr>
            <w:t>S</w:t>
          </w:r>
          <w:r>
            <w:rPr>
              <w:color w:val="7F7F7F" w:themeColor="background1" w:themeShade="7F"/>
              <w:spacing w:val="60"/>
            </w:rPr>
            <w:t>DEV</w:t>
          </w:r>
          <w:r w:rsidRPr="005D16CE">
            <w:rPr>
              <w:color w:val="7F7F7F" w:themeColor="background1" w:themeShade="7F"/>
              <w:spacing w:val="60"/>
            </w:rPr>
            <w:t xml:space="preserve"> 140 </w:t>
          </w:r>
        </w:p>
      </w:tc>
      <w:tc>
        <w:tcPr>
          <w:tcW w:w="4675" w:type="dxa"/>
        </w:tcPr>
        <w:p w14:paraId="773D6165" w14:textId="77777777" w:rsidR="005D16CE" w:rsidRPr="005D16CE" w:rsidRDefault="005D16CE" w:rsidP="005D16CE">
          <w:pPr>
            <w:pStyle w:val="Header"/>
            <w:pBdr>
              <w:bottom w:val="single" w:sz="4" w:space="1" w:color="D9D9D9" w:themeColor="background1" w:themeShade="D9"/>
            </w:pBdr>
            <w:jc w:val="center"/>
            <w:rPr>
              <w:color w:val="7F7F7F" w:themeColor="background1" w:themeShade="7F"/>
              <w:spacing w:val="60"/>
            </w:rPr>
          </w:pPr>
          <w:r w:rsidRPr="005D16CE">
            <w:rPr>
              <w:color w:val="7F7F7F" w:themeColor="background1" w:themeShade="7F"/>
              <w:spacing w:val="60"/>
            </w:rPr>
            <w:t>User Manual</w:t>
          </w:r>
        </w:p>
      </w:tc>
      <w:tc>
        <w:tcPr>
          <w:tcW w:w="2338" w:type="dxa"/>
        </w:tcPr>
        <w:p w14:paraId="08CE60F2" w14:textId="77777777" w:rsidR="005D16CE" w:rsidRPr="005D16CE" w:rsidRDefault="005D16CE" w:rsidP="005D16CE">
          <w:pPr>
            <w:pStyle w:val="Header"/>
            <w:pBdr>
              <w:bottom w:val="single" w:sz="4" w:space="1" w:color="D9D9D9" w:themeColor="background1" w:themeShade="D9"/>
            </w:pBdr>
            <w:jc w:val="right"/>
            <w:rPr>
              <w:color w:val="7F7F7F" w:themeColor="background1" w:themeShade="7F"/>
              <w:spacing w:val="60"/>
            </w:rPr>
          </w:pPr>
          <w:r w:rsidRPr="005D16CE">
            <w:rPr>
              <w:color w:val="7F7F7F" w:themeColor="background1" w:themeShade="7F"/>
              <w:spacing w:val="60"/>
            </w:rPr>
            <w:t>9/2022</w:t>
          </w:r>
        </w:p>
      </w:tc>
    </w:tr>
  </w:tbl>
  <w:sdt>
    <w:sdtPr>
      <w:rPr>
        <w:color w:val="7F7F7F" w:themeColor="background1" w:themeShade="7F"/>
        <w:spacing w:val="60"/>
      </w:rPr>
      <w:id w:val="75356051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6B5009A" w14:textId="3FC57DBD" w:rsidR="005C6D1F" w:rsidRDefault="005C6D1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4B9FF68" w14:textId="77777777" w:rsidR="005C6D1F" w:rsidRDefault="005C6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003B1"/>
    <w:multiLevelType w:val="hybridMultilevel"/>
    <w:tmpl w:val="A120D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C2BE0"/>
    <w:multiLevelType w:val="hybridMultilevel"/>
    <w:tmpl w:val="C30EA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02D2C"/>
    <w:multiLevelType w:val="hybridMultilevel"/>
    <w:tmpl w:val="C3807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A69F4"/>
    <w:multiLevelType w:val="hybridMultilevel"/>
    <w:tmpl w:val="2162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548185">
    <w:abstractNumId w:val="1"/>
  </w:num>
  <w:num w:numId="2" w16cid:durableId="1760175787">
    <w:abstractNumId w:val="0"/>
  </w:num>
  <w:num w:numId="3" w16cid:durableId="561915255">
    <w:abstractNumId w:val="3"/>
  </w:num>
  <w:num w:numId="4" w16cid:durableId="1489635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1F"/>
    <w:rsid w:val="00110F73"/>
    <w:rsid w:val="002F3100"/>
    <w:rsid w:val="003C0864"/>
    <w:rsid w:val="004B38F3"/>
    <w:rsid w:val="005C6D1F"/>
    <w:rsid w:val="005C71BA"/>
    <w:rsid w:val="005D16CE"/>
    <w:rsid w:val="00A53305"/>
    <w:rsid w:val="00AA7A01"/>
    <w:rsid w:val="00B42F42"/>
    <w:rsid w:val="00BF4167"/>
    <w:rsid w:val="00C74774"/>
    <w:rsid w:val="00E51D0D"/>
    <w:rsid w:val="00E601F5"/>
    <w:rsid w:val="00EF5893"/>
    <w:rsid w:val="00F6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B36C7"/>
  <w15:chartTrackingRefBased/>
  <w15:docId w15:val="{73017D0A-4DC1-4137-AEA9-D9951359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D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D1F"/>
  </w:style>
  <w:style w:type="paragraph" w:styleId="Footer">
    <w:name w:val="footer"/>
    <w:basedOn w:val="Normal"/>
    <w:link w:val="FooterChar"/>
    <w:uiPriority w:val="99"/>
    <w:unhideWhenUsed/>
    <w:rsid w:val="005C6D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D1F"/>
  </w:style>
  <w:style w:type="table" w:styleId="TableGrid">
    <w:name w:val="Table Grid"/>
    <w:basedOn w:val="TableNormal"/>
    <w:uiPriority w:val="39"/>
    <w:rsid w:val="005C6D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1F5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5C71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diabetes.org/healthy-living/recipes-nutrition/understanding-carbs/carb-counting-and-diabet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hyperlink" Target="https://www.mountsinai.on.ca/care/lscd/sweet-talk-1/what2019s-a-correction-factor-an-insulin-sensitivity-a-rati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ihc.org/childrens/health-topics/insulin-carb-ratios-calculate-meal-insulin-doses-type-1-diabete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Able</dc:creator>
  <cp:keywords/>
  <dc:description/>
  <cp:lastModifiedBy>Nathan Able</cp:lastModifiedBy>
  <cp:revision>2</cp:revision>
  <dcterms:created xsi:type="dcterms:W3CDTF">2022-09-27T10:58:00Z</dcterms:created>
  <dcterms:modified xsi:type="dcterms:W3CDTF">2022-10-10T16:27:00Z</dcterms:modified>
</cp:coreProperties>
</file>