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rFonts w:ascii="Times New Roman" w:cs="Times New Roman" w:eastAsia="Times New Roman" w:hAnsi="Times New Roman"/>
          <w:b/>
          <w:bCs/>
          <w:sz w:val="34"/>
          <w:szCs w:val="34"/>
        </w:rPr>
        <w:t xml:space="preserve">IPL AUCTION VALUATION AND</w:t>
      </w:r>
    </w:p>
    <w:p>
      <w:pPr>
        <w:spacing w:after="240" w:before="0"/>
        <w:jc w:val="center"/>
      </w:pPr>
      <w:r>
        <w:rPr>
          <w:rFonts w:ascii="Times New Roman" w:cs="Times New Roman" w:eastAsia="Times New Roman" w:hAnsi="Times New Roman"/>
          <w:b/>
          <w:bCs/>
          <w:sz w:val="34"/>
          <w:szCs w:val="34"/>
        </w:rPr>
        <w:t xml:space="preserve">PLAYER PERFORMANCE INTELLIGENCE</w:t>
      </w:r>
    </w:p>
    <w:p>
      <w:pPr>
        <w:spacing w:after="480" w:before="0"/>
        <w:jc w:val="center"/>
      </w:pPr>
      <w:r>
        <w:rPr>
          <w:rFonts w:ascii="Times New Roman" w:cs="Times New Roman" w:eastAsia="Times New Roman" w:hAnsi="Times New Roman"/>
          <w:i/>
          <w:iCs/>
          <w:sz w:val="24"/>
          <w:szCs w:val="24"/>
        </w:rPr>
        <w:t xml:space="preserve">Valuing every IPL auction buy by on-field output per crore, 2013–2026</w:t>
      </w:r>
    </w:p>
    <w:p>
      <w:pPr>
        <w:spacing w:after="40" w:before="0"/>
        <w:jc w:val="center"/>
      </w:pPr>
      <w:r>
        <w:rPr>
          <w:rFonts w:ascii="Times New Roman" w:cs="Times New Roman" w:eastAsia="Times New Roman" w:hAnsi="Times New Roman"/>
          <w:sz w:val="26"/>
          <w:szCs w:val="26"/>
        </w:rPr>
        <w:t xml:space="preserve">A Project Report</w:t>
      </w:r>
    </w:p>
    <w:p>
      <w:pPr>
        <w:spacing w:after="40" w:before="0"/>
        <w:jc w:val="center"/>
      </w:pPr>
      <w:r>
        <w:rPr>
          <w:rFonts w:ascii="Times New Roman" w:cs="Times New Roman" w:eastAsia="Times New Roman" w:hAnsi="Times New Roman"/>
          <w:sz w:val="24"/>
          <w:szCs w:val="24"/>
        </w:rPr>
        <w:t xml:space="preserve">submitted for the course</w:t>
      </w:r>
    </w:p>
    <w:p>
      <w:pPr>
        <w:spacing w:after="480" w:before="0"/>
        <w:jc w:val="center"/>
      </w:pPr>
      <w:r>
        <w:rPr>
          <w:rFonts w:ascii="Times New Roman" w:cs="Times New Roman" w:eastAsia="Times New Roman" w:hAnsi="Times New Roman"/>
          <w:b/>
          <w:bCs/>
          <w:sz w:val="28"/>
          <w:szCs w:val="28"/>
        </w:rPr>
        <w:t xml:space="preserve">BDM (Semester VII)</w:t>
      </w:r>
    </w:p>
    <w:p>
      <w:pPr>
        <w:spacing w:after="160" w:before="0"/>
        <w:jc w:val="center"/>
      </w:pPr>
      <w:r>
        <w:rPr>
          <w:rFonts w:ascii="Times New Roman" w:cs="Times New Roman" w:eastAsia="Times New Roman" w:hAnsi="Times New Roman"/>
          <w:i/>
          <w:iCs/>
          <w:sz w:val="24"/>
          <w:szCs w:val="24"/>
        </w:rPr>
        <w:t xml:space="preserve">Submitted by</w:t>
      </w:r>
    </w:p>
    <w:tbl>
      <w:tblPr>
        <w:tblW w:type="dxa" w:w="6000"/>
        <w:jc w:val="center"/>
        <w:tblBorders>
          <w:top w:val="none" w:color="FFFFFF" w:sz="0"/>
          <w:left w:val="none" w:color="FFFFFF" w:sz="0"/>
          <w:bottom w:val="none" w:color="FFFFFF" w:sz="0"/>
          <w:right w:val="none" w:color="FFFFFF" w:sz="0"/>
          <w:insideH w:val="none" w:color="FFFFFF" w:sz="0"/>
          <w:insideV w:val="none" w:color="FFFFFF" w:sz="0"/>
        </w:tblBorders>
      </w:tblPr>
      <w:tblGrid>
        <w:gridCol w:w="3600"/>
        <w:gridCol w:w="24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6"/>
                <w:szCs w:val="26"/>
              </w:rPr>
              <w:t xml:space="preserve">Abhishek Kokadwar</w:t>
            </w:r>
          </w:p>
        </w:tc>
        <w:tc>
          <w:tcPr>
            <w:tcW w:type="dxa" w:w="24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sz w:val="26"/>
                <w:szCs w:val="26"/>
              </w:rPr>
              <w:t xml:space="preserve">(2023IMG-002)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6"/>
                <w:szCs w:val="26"/>
              </w:rPr>
              <w:t xml:space="preserve">Pratik Baviskar</w:t>
            </w:r>
          </w:p>
        </w:tc>
        <w:tc>
          <w:tcPr>
            <w:tcW w:type="dxa" w:w="24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sz w:val="26"/>
                <w:szCs w:val="26"/>
              </w:rPr>
              <w:t xml:space="preserve">(2023IMG-014)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6"/>
                <w:szCs w:val="26"/>
              </w:rPr>
              <w:t xml:space="preserve">Rajveer Lomate</w:t>
            </w:r>
          </w:p>
        </w:tc>
        <w:tc>
          <w:tcPr>
            <w:tcW w:type="dxa" w:w="24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sz w:val="26"/>
                <w:szCs w:val="26"/>
              </w:rPr>
              <w:t xml:space="preserve">(2023IMG-031)</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6"/>
                <w:szCs w:val="26"/>
              </w:rPr>
              <w:t xml:space="preserve">Nabaskar Brahma</w:t>
            </w:r>
          </w:p>
        </w:tc>
        <w:tc>
          <w:tcPr>
            <w:tcW w:type="dxa" w:w="2400"/>
            <w:tcBorders>
              <w:top w:val="none" w:color="FFFFFF" w:sz="0"/>
              <w:left w:val="none" w:color="FFFFFF" w:sz="0"/>
              <w:bottom w:val="none" w:color="FFFFFF" w:sz="0"/>
              <w:right w:val="none" w:color="FFFFFF" w:sz="0"/>
            </w:tcBorders>
          </w:tcPr>
          <w:p>
            <w:pPr>
              <w:spacing w:after="60"/>
              <w:jc w:val="right"/>
            </w:pPr>
            <w:r>
              <w:rPr>
                <w:rFonts w:ascii="Times New Roman" w:cs="Times New Roman" w:eastAsia="Times New Roman" w:hAnsi="Times New Roman"/>
                <w:sz w:val="26"/>
                <w:szCs w:val="26"/>
              </w:rPr>
              <w:t xml:space="preserve">(2023IMG-035)</w:t>
            </w:r>
          </w:p>
        </w:tc>
      </w:tr>
    </w:tbl>
    <w:p>
      <w:pPr>
        <w:spacing w:after="360" w:before="520"/>
        <w:jc w:val="center"/>
      </w:pPr>
      <w:r>
        <w:drawing>
          <wp:inline distT="0" distB="0" distL="0" distR="0">
            <wp:extent cx="1238250" cy="1552575"/>
            <wp:effectExtent t="0" r="0" b="0" l="0"/>
            <wp:docPr id="1" name="logo" descr="Institute logo" title="ABV-IIITM Gwalio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1552575"/>
                    </a:xfrm>
                    <a:prstGeom prst="rect">
                      <a:avLst/>
                    </a:prstGeom>
                  </pic:spPr>
                </pic:pic>
              </a:graphicData>
            </a:graphic>
          </wp:inline>
        </w:drawing>
      </w:r>
    </w:p>
    <w:p>
      <w:pPr>
        <w:spacing w:after="0" w:before="0"/>
        <w:jc w:val="center"/>
      </w:pPr>
      <w:r>
        <w:rPr>
          <w:rFonts w:ascii="Times New Roman" w:cs="Times New Roman" w:eastAsia="Times New Roman" w:hAnsi="Times New Roman"/>
          <w:b/>
          <w:bCs/>
          <w:sz w:val="28"/>
          <w:szCs w:val="28"/>
        </w:rPr>
        <w:t xml:space="preserve">ABV-INDIAN INSTITUTE OF INFORMATION TECHNOLOGY</w:t>
      </w:r>
    </w:p>
    <w:p>
      <w:pPr>
        <w:spacing w:after="120" w:before="0"/>
        <w:jc w:val="center"/>
      </w:pPr>
      <w:r>
        <w:rPr>
          <w:rFonts w:ascii="Times New Roman" w:cs="Times New Roman" w:eastAsia="Times New Roman" w:hAnsi="Times New Roman"/>
          <w:b/>
          <w:bCs/>
          <w:sz w:val="28"/>
          <w:szCs w:val="28"/>
        </w:rPr>
        <w:t xml:space="preserve">AND MANAGEMENT GWALIOR</w:t>
      </w:r>
    </w:p>
    <w:p>
      <w:pPr>
        <w:spacing w:after="120" w:before="0"/>
        <w:jc w:val="center"/>
      </w:pPr>
      <w:r>
        <w:rPr>
          <w:rFonts w:ascii="Times New Roman" w:cs="Times New Roman" w:eastAsia="Times New Roman" w:hAnsi="Times New Roman"/>
          <w:b/>
          <w:bCs/>
          <w:sz w:val="24"/>
          <w:szCs w:val="24"/>
        </w:rPr>
        <w:t xml:space="preserve">GWALIOR, INDIA</w:t>
      </w:r>
    </w:p>
    <w:p>
      <w:pPr>
        <w:spacing w:after="0" w:before="0"/>
        <w:jc w:val="center"/>
        <w:sectPr>
          <w:pgSz w:w="11906" w:h="16838" w:orient="portrait"/>
          <w:pgMar w:top="1440" w:right="1440" w:bottom="1440" w:left="1440" w:header="708" w:footer="708" w:gutter="0"/>
          <w:pgNumType/>
          <w:docGrid w:linePitch="360"/>
        </w:sectPr>
      </w:pPr>
      <w:r>
        <w:rPr>
          <w:rFonts w:ascii="Times New Roman" w:cs="Times New Roman" w:eastAsia="Times New Roman" w:hAnsi="Times New Roman"/>
          <w:b/>
          <w:bCs/>
          <w:sz w:val="24"/>
          <w:szCs w:val="24"/>
        </w:rPr>
        <w:t xml:space="preserve">AUGUST, 2026</w:t>
      </w:r>
    </w:p>
    <w:p>
      <w:pPr>
        <w:pStyle w:val="Heading1"/>
      </w:pPr>
      <w:r>
        <w:rPr>
          <w:rFonts w:ascii="Times New Roman" w:cs="Times New Roman" w:eastAsia="Times New Roman" w:hAnsi="Times New Roman"/>
        </w:rPr>
        <w:t xml:space="preserve">Abstract</w:t>
      </w:r>
    </w:p>
    <w:p>
      <w:pPr>
        <w:spacing w:after="140" w:line="340"/>
        <w:jc w:val="both"/>
      </w:pPr>
      <w:r>
        <w:rPr>
          <w:rFonts w:ascii="Times New Roman" w:cs="Times New Roman" w:eastAsia="Times New Roman" w:hAnsi="Times New Roman"/>
          <w:sz w:val="24"/>
          <w:szCs w:val="24"/>
        </w:rPr>
        <w:t xml:space="preserve">IPL franchises pay at the auction largely for reputation, while matches are won with runs, wickets and catches. This project asks which auction buys earned their price. We combined auction records for 2013–2026 (1,380 buys, ₹3,269 Cr) with ball-by-ball data for 921 matches, scored every player on one Impact Points scale, and built a Value Index: a player's share of league output divided by their share of league spend.</w:t>
      </w:r>
    </w:p>
    <w:p>
      <w:pPr>
        <w:spacing w:after="140" w:line="340"/>
        <w:jc w:val="both"/>
      </w:pPr>
      <w:r>
        <w:rPr>
          <w:rFonts w:ascii="Times New Roman" w:cs="Times New Roman" w:eastAsia="Times New Roman" w:hAnsi="Times New Roman"/>
          <w:sz w:val="24"/>
          <w:szCs w:val="24"/>
        </w:rPr>
        <w:t xml:space="preserve">The analysis is delivered as a Power BI dashboard and as a MERN web application backed by MongoDB Atlas. The findings are consistent: prices have doubled since 2013; base-price buys return 4.1× fair value per crore while ₹10 Cr+ signings return 0.49×; and spending is unrelated to winning (r = −0.03) while spending efficiently is not (r = +0.35).</w:t>
      </w:r>
    </w:p>
    <w:p>
      <w:pPr>
        <w:spacing w:after="140" w:line="3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IPL auction, player valuation, Power BI, DAX, MongoDB, data analytics</w:t>
      </w:r>
    </w:p>
    <w:p>
      <w:pPr>
        <w:pStyle w:val="Heading1"/>
        <w:spacing w:after="280" w:before="480"/>
      </w:pPr>
      <w:r>
        <w:rPr>
          <w:rFonts w:ascii="Times New Roman" w:cs="Times New Roman" w:eastAsia="Times New Roman" w:hAnsi="Times New Roman"/>
        </w:rPr>
        <w:t xml:space="preserve">Table of Contents</w:t>
      </w:r>
    </w:p>
    <w:p>
      <w:pPr>
        <w:tabs>
          <w:tab w:val="right" w:pos="9026" w:leader="dot"/>
        </w:tabs>
        <w:spacing w:after="60" w:before="80"/>
        <w:ind w:left="0"/>
      </w:pPr>
      <w:r>
        <w:rPr>
          <w:rFonts w:ascii="Times New Roman" w:cs="Times New Roman" w:eastAsia="Times New Roman" w:hAnsi="Times New Roman"/>
          <w:b/>
          <w:bCs/>
          <w:sz w:val="24"/>
          <w:szCs w:val="24"/>
        </w:rPr>
        <w:t xml:space="preserve">1. Introduction</w:t>
      </w:r>
      <w:r>
        <w:rPr>
          <w:rFonts w:ascii="Times New Roman" w:cs="Times New Roman" w:eastAsia="Times New Roman" w:hAnsi="Times New Roman"/>
          <w:b/>
          <w:bCs/>
          <w:sz w:val="24"/>
          <w:szCs w:val="24"/>
        </w:rPr>
        <w:t xml:space="preserve">	1</w:t>
      </w:r>
    </w:p>
    <w:p>
      <w:pPr>
        <w:tabs>
          <w:tab w:val="right" w:pos="9026" w:leader="dot"/>
        </w:tabs>
        <w:spacing w:after="60" w:before="80"/>
        <w:ind w:left="0"/>
      </w:pPr>
      <w:r>
        <w:rPr>
          <w:rFonts w:ascii="Times New Roman" w:cs="Times New Roman" w:eastAsia="Times New Roman" w:hAnsi="Times New Roman"/>
          <w:b/>
          <w:bCs/>
          <w:sz w:val="24"/>
          <w:szCs w:val="24"/>
        </w:rPr>
        <w:t xml:space="preserve">2. Data and Methodology</w:t>
      </w:r>
      <w:r>
        <w:rPr>
          <w:rFonts w:ascii="Times New Roman" w:cs="Times New Roman" w:eastAsia="Times New Roman" w:hAnsi="Times New Roman"/>
          <w:b/>
          <w:bCs/>
          <w:sz w:val="24"/>
          <w:szCs w:val="24"/>
        </w:rPr>
        <w:t xml:space="preserve">	1</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2.1 Data Sources</w:t>
      </w:r>
      <w:r>
        <w:rPr>
          <w:rFonts w:ascii="Times New Roman" w:cs="Times New Roman" w:eastAsia="Times New Roman" w:hAnsi="Times New Roman"/>
          <w:b w:val="false"/>
          <w:bCs w:val="false"/>
          <w:sz w:val="22"/>
          <w:szCs w:val="22"/>
        </w:rPr>
        <w:t xml:space="preserve">	1</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2.2 Data Preparation</w:t>
      </w:r>
      <w:r>
        <w:rPr>
          <w:rFonts w:ascii="Times New Roman" w:cs="Times New Roman" w:eastAsia="Times New Roman" w:hAnsi="Times New Roman"/>
          <w:b w:val="false"/>
          <w:bCs w:val="false"/>
          <w:sz w:val="22"/>
          <w:szCs w:val="22"/>
        </w:rPr>
        <w:t xml:space="preserve">	2</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2.3 Data Model</w:t>
      </w:r>
      <w:r>
        <w:rPr>
          <w:rFonts w:ascii="Times New Roman" w:cs="Times New Roman" w:eastAsia="Times New Roman" w:hAnsi="Times New Roman"/>
          <w:b w:val="false"/>
          <w:bCs w:val="false"/>
          <w:sz w:val="22"/>
          <w:szCs w:val="22"/>
        </w:rPr>
        <w:t xml:space="preserve">	2</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2.4 Value Metrics</w:t>
      </w:r>
      <w:r>
        <w:rPr>
          <w:rFonts w:ascii="Times New Roman" w:cs="Times New Roman" w:eastAsia="Times New Roman" w:hAnsi="Times New Roman"/>
          <w:b w:val="false"/>
          <w:bCs w:val="false"/>
          <w:sz w:val="22"/>
          <w:szCs w:val="22"/>
        </w:rPr>
        <w:t xml:space="preserve">	2</w:t>
      </w:r>
    </w:p>
    <w:p>
      <w:pPr>
        <w:tabs>
          <w:tab w:val="right" w:pos="9026" w:leader="dot"/>
        </w:tabs>
        <w:spacing w:after="60" w:before="80"/>
        <w:ind w:left="0"/>
      </w:pPr>
      <w:r>
        <w:rPr>
          <w:rFonts w:ascii="Times New Roman" w:cs="Times New Roman" w:eastAsia="Times New Roman" w:hAnsi="Times New Roman"/>
          <w:b/>
          <w:bCs/>
          <w:sz w:val="24"/>
          <w:szCs w:val="24"/>
        </w:rPr>
        <w:t xml:space="preserve">3. Power BI Dashboard</w:t>
      </w:r>
      <w:r>
        <w:rPr>
          <w:rFonts w:ascii="Times New Roman" w:cs="Times New Roman" w:eastAsia="Times New Roman" w:hAnsi="Times New Roman"/>
          <w:b/>
          <w:bCs/>
          <w:sz w:val="24"/>
          <w:szCs w:val="24"/>
        </w:rPr>
        <w:t xml:space="preserve">	3</w:t>
      </w:r>
    </w:p>
    <w:p>
      <w:pPr>
        <w:tabs>
          <w:tab w:val="right" w:pos="9026" w:leader="dot"/>
        </w:tabs>
        <w:spacing w:after="60" w:before="80"/>
        <w:ind w:left="0"/>
      </w:pPr>
      <w:r>
        <w:rPr>
          <w:rFonts w:ascii="Times New Roman" w:cs="Times New Roman" w:eastAsia="Times New Roman" w:hAnsi="Times New Roman"/>
          <w:b/>
          <w:bCs/>
          <w:sz w:val="24"/>
          <w:szCs w:val="24"/>
        </w:rPr>
        <w:t xml:space="preserve">4. Results and Analysis</w:t>
      </w:r>
      <w:r>
        <w:rPr>
          <w:rFonts w:ascii="Times New Roman" w:cs="Times New Roman" w:eastAsia="Times New Roman" w:hAnsi="Times New Roman"/>
          <w:b/>
          <w:bCs/>
          <w:sz w:val="24"/>
          <w:szCs w:val="24"/>
        </w:rPr>
        <w:t xml:space="preserve">	5</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4.1 Auction Market</w:t>
      </w:r>
      <w:r>
        <w:rPr>
          <w:rFonts w:ascii="Times New Roman" w:cs="Times New Roman" w:eastAsia="Times New Roman" w:hAnsi="Times New Roman"/>
          <w:b w:val="false"/>
          <w:bCs w:val="false"/>
          <w:sz w:val="22"/>
          <w:szCs w:val="22"/>
        </w:rPr>
        <w:t xml:space="preserve">	5</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4.2 Franchise Efficiency and Winning</w:t>
      </w:r>
      <w:r>
        <w:rPr>
          <w:rFonts w:ascii="Times New Roman" w:cs="Times New Roman" w:eastAsia="Times New Roman" w:hAnsi="Times New Roman"/>
          <w:b w:val="false"/>
          <w:bCs w:val="false"/>
          <w:sz w:val="22"/>
          <w:szCs w:val="22"/>
        </w:rPr>
        <w:t xml:space="preserve">	6</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4.3 Steals and Overpaid</w:t>
      </w:r>
      <w:r>
        <w:rPr>
          <w:rFonts w:ascii="Times New Roman" w:cs="Times New Roman" w:eastAsia="Times New Roman" w:hAnsi="Times New Roman"/>
          <w:b w:val="false"/>
          <w:bCs w:val="false"/>
          <w:sz w:val="22"/>
          <w:szCs w:val="22"/>
        </w:rPr>
        <w:t xml:space="preserve">	6</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4.4 Role and Nationality</w:t>
      </w:r>
      <w:r>
        <w:rPr>
          <w:rFonts w:ascii="Times New Roman" w:cs="Times New Roman" w:eastAsia="Times New Roman" w:hAnsi="Times New Roman"/>
          <w:b w:val="false"/>
          <w:bCs w:val="false"/>
          <w:sz w:val="22"/>
          <w:szCs w:val="22"/>
        </w:rPr>
        <w:t xml:space="preserve">	6</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4.5 Price Brackets</w:t>
      </w:r>
      <w:r>
        <w:rPr>
          <w:rFonts w:ascii="Times New Roman" w:cs="Times New Roman" w:eastAsia="Times New Roman" w:hAnsi="Times New Roman"/>
          <w:b w:val="false"/>
          <w:bCs w:val="false"/>
          <w:sz w:val="22"/>
          <w:szCs w:val="22"/>
        </w:rPr>
        <w:t xml:space="preserve">	7</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4.6 Validation</w:t>
      </w:r>
      <w:r>
        <w:rPr>
          <w:rFonts w:ascii="Times New Roman" w:cs="Times New Roman" w:eastAsia="Times New Roman" w:hAnsi="Times New Roman"/>
          <w:b w:val="false"/>
          <w:bCs w:val="false"/>
          <w:sz w:val="22"/>
          <w:szCs w:val="22"/>
        </w:rPr>
        <w:t xml:space="preserve">	7</w:t>
      </w:r>
    </w:p>
    <w:p>
      <w:pPr>
        <w:tabs>
          <w:tab w:val="right" w:pos="9026" w:leader="dot"/>
        </w:tabs>
        <w:spacing w:after="60" w:before="80"/>
        <w:ind w:left="0"/>
      </w:pPr>
      <w:r>
        <w:rPr>
          <w:rFonts w:ascii="Times New Roman" w:cs="Times New Roman" w:eastAsia="Times New Roman" w:hAnsi="Times New Roman"/>
          <w:b/>
          <w:bCs/>
          <w:sz w:val="24"/>
          <w:szCs w:val="24"/>
        </w:rPr>
        <w:t xml:space="preserve">5. Web Application (MERN)</w:t>
      </w:r>
      <w:r>
        <w:rPr>
          <w:rFonts w:ascii="Times New Roman" w:cs="Times New Roman" w:eastAsia="Times New Roman" w:hAnsi="Times New Roman"/>
          <w:b/>
          <w:bCs/>
          <w:sz w:val="24"/>
          <w:szCs w:val="24"/>
        </w:rPr>
        <w:t xml:space="preserve">	7</w:t>
      </w:r>
    </w:p>
    <w:p>
      <w:pPr>
        <w:tabs>
          <w:tab w:val="right" w:pos="9026" w:leader="dot"/>
        </w:tabs>
        <w:spacing w:after="60" w:before="80"/>
        <w:ind w:left="0"/>
      </w:pPr>
      <w:r>
        <w:rPr>
          <w:rFonts w:ascii="Times New Roman" w:cs="Times New Roman" w:eastAsia="Times New Roman" w:hAnsi="Times New Roman"/>
          <w:b/>
          <w:bCs/>
          <w:sz w:val="24"/>
          <w:szCs w:val="24"/>
        </w:rPr>
        <w:t xml:space="preserve">6. Recommendations and Conclusion</w:t>
      </w:r>
      <w:r>
        <w:rPr>
          <w:rFonts w:ascii="Times New Roman" w:cs="Times New Roman" w:eastAsia="Times New Roman" w:hAnsi="Times New Roman"/>
          <w:b/>
          <w:bCs/>
          <w:sz w:val="24"/>
          <w:szCs w:val="24"/>
        </w:rPr>
        <w:t xml:space="preserve">	8</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6.1 Recommendations</w:t>
      </w:r>
      <w:r>
        <w:rPr>
          <w:rFonts w:ascii="Times New Roman" w:cs="Times New Roman" w:eastAsia="Times New Roman" w:hAnsi="Times New Roman"/>
          <w:b w:val="false"/>
          <w:bCs w:val="false"/>
          <w:sz w:val="22"/>
          <w:szCs w:val="22"/>
        </w:rPr>
        <w:t xml:space="preserve">	8</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6.2 Limitations</w:t>
      </w:r>
      <w:r>
        <w:rPr>
          <w:rFonts w:ascii="Times New Roman" w:cs="Times New Roman" w:eastAsia="Times New Roman" w:hAnsi="Times New Roman"/>
          <w:b w:val="false"/>
          <w:bCs w:val="false"/>
          <w:sz w:val="22"/>
          <w:szCs w:val="22"/>
        </w:rPr>
        <w:t xml:space="preserve">	8</w:t>
      </w:r>
    </w:p>
    <w:p>
      <w:pPr>
        <w:tabs>
          <w:tab w:val="right" w:pos="9026" w:leader="dot"/>
        </w:tabs>
        <w:spacing w:after="30" w:before="0"/>
        <w:ind w:left="440"/>
      </w:pPr>
      <w:r>
        <w:rPr>
          <w:rFonts w:ascii="Times New Roman" w:cs="Times New Roman" w:eastAsia="Times New Roman" w:hAnsi="Times New Roman"/>
          <w:b w:val="false"/>
          <w:bCs w:val="false"/>
          <w:sz w:val="22"/>
          <w:szCs w:val="22"/>
        </w:rPr>
        <w:t xml:space="preserve">6.3 Conclusion</w:t>
      </w:r>
      <w:r>
        <w:rPr>
          <w:rFonts w:ascii="Times New Roman" w:cs="Times New Roman" w:eastAsia="Times New Roman" w:hAnsi="Times New Roman"/>
          <w:b w:val="false"/>
          <w:bCs w:val="false"/>
          <w:sz w:val="22"/>
          <w:szCs w:val="22"/>
        </w:rPr>
        <w:t xml:space="preserve">	8</w:t>
      </w:r>
    </w:p>
    <w:p>
      <w:pPr>
        <w:tabs>
          <w:tab w:val="right" w:pos="9026" w:leader="dot"/>
        </w:tabs>
        <w:spacing w:after="60" w:before="80"/>
        <w:ind w:left="0"/>
        <w:sectPr>
          <w:footerReference w:type="default" r:id="rId6"/>
          <w:pgSz w:w="11906" w:h="16838" w:orient="portrait"/>
          <w:pgMar w:top="1440" w:right="1440" w:bottom="1440" w:left="1440" w:header="708" w:footer="708" w:gutter="0"/>
          <w:pgNumType w:start="1" w:fmt="lowerRoman"/>
          <w:docGrid w:linePitch="360"/>
        </w:sectPr>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 xml:space="preserve">	9</w:t>
      </w:r>
    </w:p>
    <w:p>
      <w:pPr>
        <w:pStyle w:val="Heading1"/>
      </w:pPr>
      <w:r>
        <w:rPr>
          <w:rFonts w:ascii="Times New Roman" w:cs="Times New Roman" w:eastAsia="Times New Roman" w:hAnsi="Times New Roman"/>
        </w:rPr>
        <w:t xml:space="preserve">1. Introduction</w:t>
      </w:r>
    </w:p>
    <w:p>
      <w:pPr>
        <w:spacing w:after="140" w:line="340"/>
        <w:jc w:val="both"/>
      </w:pPr>
      <w:r>
        <w:rPr>
          <w:rFonts w:ascii="Times New Roman" w:cs="Times New Roman" w:eastAsia="Times New Roman" w:hAnsi="Times New Roman"/>
          <w:sz w:val="24"/>
          <w:szCs w:val="24"/>
        </w:rPr>
        <w:t xml:space="preserve">Every year IPL franchises spend hundreds of crores at the player auction. Prices are set in a few minutes of bidding, often driven by reputation, while the return on that money is decided over a season of runs, wickets and catches. Between 2013 and 2026 the franchises spent ₹3,269 Cr on 1,380 auction buys.</w:t>
      </w:r>
    </w:p>
    <w:p>
      <w:pPr>
        <w:spacing w:after="140" w:line="340"/>
        <w:jc w:val="both"/>
      </w:pPr>
      <w:r>
        <w:rPr>
          <w:rFonts w:ascii="Times New Roman" w:cs="Times New Roman" w:eastAsia="Times New Roman" w:hAnsi="Times New Roman"/>
          <w:b/>
          <w:bCs/>
          <w:sz w:val="24"/>
          <w:szCs w:val="24"/>
        </w:rPr>
        <w:t xml:space="preserve">Problem statement. </w:t>
      </w:r>
      <w:r>
        <w:rPr>
          <w:rFonts w:ascii="Times New Roman" w:cs="Times New Roman" w:eastAsia="Times New Roman" w:hAnsi="Times New Roman"/>
          <w:sz w:val="24"/>
          <w:szCs w:val="24"/>
        </w:rPr>
        <w:t xml:space="preserve">Which IPL auction buys earned their price? Taking the view of a franchise analytics team, we measure how much on-field impact each crore bought, so that franchises can be compared and the next auction planned on evidence.</w:t>
      </w:r>
    </w:p>
    <w:p>
      <w:pPr>
        <w:keepNext/>
        <w:spacing w:after="140" w:line="340"/>
        <w:jc w:val="both"/>
      </w:pPr>
      <w:r>
        <w:rPr>
          <w:rFonts w:ascii="Times New Roman" w:cs="Times New Roman" w:eastAsia="Times New Roman" w:hAnsi="Times New Roman"/>
          <w:sz w:val="24"/>
          <w:szCs w:val="24"/>
        </w:rPr>
        <w:t xml:space="preserve">The project answers six business questions: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Which franchise gets the most on-field impact per crore spent?</w:t>
      </w:r>
    </w:p>
    <w:p>
      <w:pPr>
        <w:pStyle w:val="ListParagraph"/>
        <w:numPr>
          <w:ilvl w:val="0"/>
          <w:numId w:val="2"/>
        </w:numPr>
        <w:spacing w:after="80" w:line="320"/>
        <w:jc w:val="both"/>
      </w:pPr>
      <w:r>
        <w:rPr>
          <w:rFonts w:ascii="Times New Roman" w:cs="Times New Roman" w:eastAsia="Times New Roman" w:hAnsi="Times New Roman"/>
          <w:sz w:val="24"/>
          <w:szCs w:val="24"/>
        </w:rPr>
        <w:t xml:space="preserve">Which players were the best bargains and the worst buys?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Do franchises that spend efficiently win more matches?</w:t>
      </w:r>
    </w:p>
    <w:p>
      <w:pPr>
        <w:pStyle w:val="ListParagraph"/>
        <w:numPr>
          <w:ilvl w:val="0"/>
          <w:numId w:val="2"/>
        </w:numPr>
        <w:spacing w:after="80" w:line="320"/>
        <w:jc w:val="both"/>
      </w:pPr>
      <w:r>
        <w:rPr>
          <w:rFonts w:ascii="Times New Roman" w:cs="Times New Roman" w:eastAsia="Times New Roman" w:hAnsi="Times New Roman"/>
          <w:sz w:val="24"/>
          <w:szCs w:val="24"/>
        </w:rPr>
        <w:t xml:space="preserve">Are some roles over- or under-priced, and do overseas players earn their premium?</w:t>
      </w:r>
    </w:p>
    <w:p>
      <w:pPr>
        <w:pStyle w:val="ListParagraph"/>
        <w:numPr>
          <w:ilvl w:val="0"/>
          <w:numId w:val="2"/>
        </w:numPr>
        <w:spacing w:after="80" w:line="320"/>
        <w:jc w:val="both"/>
      </w:pPr>
      <w:r>
        <w:rPr>
          <w:rFonts w:ascii="Times New Roman" w:cs="Times New Roman" w:eastAsia="Times New Roman" w:hAnsi="Times New Roman"/>
          <w:sz w:val="24"/>
          <w:szCs w:val="24"/>
        </w:rPr>
        <w:t xml:space="preserve">How much have auction prices inflated since 2013?</w:t>
      </w:r>
    </w:p>
    <w:p>
      <w:pPr>
        <w:pStyle w:val="ListParagraph"/>
        <w:numPr>
          <w:ilvl w:val="0"/>
          <w:numId w:val="2"/>
        </w:numPr>
        <w:spacing w:after="80" w:line="320"/>
        <w:jc w:val="both"/>
      </w:pPr>
      <w:r>
        <w:rPr>
          <w:rFonts w:ascii="Times New Roman" w:cs="Times New Roman" w:eastAsia="Times New Roman" w:hAnsi="Times New Roman"/>
          <w:sz w:val="24"/>
          <w:szCs w:val="24"/>
        </w:rPr>
        <w:t xml:space="preserve">Do base-price buys outperform expensive marquee signings?</w:t>
      </w:r>
    </w:p>
    <w:p>
      <w:pPr>
        <w:spacing w:after="140" w:line="340"/>
        <w:jc w:val="both"/>
      </w:pPr>
      <w:r>
        <w:rPr>
          <w:rFonts w:ascii="Times New Roman" w:cs="Times New Roman" w:eastAsia="Times New Roman" w:hAnsi="Times New Roman"/>
          <w:sz w:val="24"/>
          <w:szCs w:val="24"/>
        </w:rPr>
        <w:t xml:space="preserve">The results are delivered in two front ends built on one dataset: a Power BI dashboard (Handover/IPL_Auction_Value.pbix) and a MERN web application with the same pages, which stores the data in MongoDB.</w:t>
      </w:r>
    </w:p>
    <w:p>
      <w:pPr>
        <w:pStyle w:val="Heading1"/>
      </w:pPr>
      <w:r>
        <w:rPr>
          <w:rFonts w:ascii="Times New Roman" w:cs="Times New Roman" w:eastAsia="Times New Roman" w:hAnsi="Times New Roman"/>
        </w:rPr>
        <w:t xml:space="preserve">2. Data and Methodology</w:t>
      </w:r>
    </w:p>
    <w:p>
      <w:pPr>
        <w:pStyle w:val="Heading2"/>
        <w:keepNext/>
      </w:pPr>
      <w:r>
        <w:rPr>
          <w:rFonts w:ascii="Times New Roman" w:cs="Times New Roman" w:eastAsia="Times New Roman" w:hAnsi="Times New Roman"/>
        </w:rPr>
        <w:t xml:space="preserve">2.1 Data Sources</w:t>
      </w:r>
    </w:p>
    <w:p>
      <w:pPr>
        <w:keepNext/>
        <w:spacing w:after="80" w:before="120"/>
        <w:jc w:val="center"/>
      </w:pPr>
      <w:r>
        <w:rPr>
          <w:rFonts w:ascii="Times New Roman" w:cs="Times New Roman" w:eastAsia="Times New Roman" w:hAnsi="Times New Roman"/>
          <w:b/>
          <w:bCs/>
          <w:sz w:val="20"/>
          <w:szCs w:val="20"/>
        </w:rPr>
        <w:t xml:space="preserve">Table 2.1: Data sources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700"/>
        <w:gridCol w:w="1826"/>
      </w:tblGrid>
      <w:tr>
        <w:trPr>
          <w:tblHeader/>
        </w:trPr>
        <w:tc>
          <w:tcPr>
            <w:tcW w:type="dxa" w:w="35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Source</w:t>
            </w:r>
          </w:p>
        </w:tc>
        <w:tc>
          <w:tcPr>
            <w:tcW w:type="dxa" w:w="37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What it provides</w:t>
            </w:r>
          </w:p>
        </w:tc>
        <w:tc>
          <w:tcPr>
            <w:tcW w:type="dxa" w:w="1826"/>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Size</w:t>
            </w:r>
          </w:p>
        </w:tc>
      </w:tr>
      <w:tr>
        <w:trPr>
          <w:cantSplit/>
        </w:trPr>
        <w:tc>
          <w:tcPr>
            <w:tcW w:type="dxa" w:w="3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Kaggle: IPL Auction Dataset 2013–2026</w:t>
            </w:r>
          </w:p>
        </w:tc>
        <w:tc>
          <w:tcPr>
            <w:tcW w:type="dxa" w:w="37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Price, team, role, nationality; base price for 2025–26</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1,380 buys</w:t>
            </w:r>
          </w:p>
        </w:tc>
      </w:tr>
      <w:tr>
        <w:trPr>
          <w:cantSplit/>
        </w:trPr>
        <w:tc>
          <w:tcPr>
            <w:tcW w:type="dxa" w:w="3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Cricsheet IPL ball-by-ball JSON</w:t>
            </w:r>
          </w:p>
        </w:tc>
        <w:tc>
          <w:tcPr>
            <w:tcW w:type="dxa" w:w="37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Every delivery, fielders, playing XIs, results</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921 matches (2013–2026)</w:t>
            </w:r>
          </w:p>
        </w:tc>
      </w:tr>
      <w:tr>
        <w:trPr>
          <w:cantSplit/>
        </w:trPr>
        <w:tc>
          <w:tcPr>
            <w:tcW w:type="dxa" w:w="3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Cricsheet Register</w:t>
            </w:r>
          </w:p>
        </w:tc>
        <w:tc>
          <w:tcPr>
            <w:tcW w:type="dxa" w:w="37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Unique player IDs and name variants</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All players</w:t>
            </w:r>
          </w:p>
        </w:tc>
      </w:tr>
      <w:tr>
        <w:trPr>
          <w:cantSplit/>
        </w:trPr>
        <w:tc>
          <w:tcPr>
            <w:tcW w:type="dxa" w:w="3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Kaggle 2013–22 list; official 2025 list</w:t>
            </w:r>
          </w:p>
        </w:tc>
        <w:tc>
          <w:tcPr>
            <w:tcW w:type="dxa" w:w="37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Missing roles and Indian/Overseas flags</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Supplementary</w:t>
            </w:r>
          </w:p>
        </w:tc>
      </w:tr>
      <w:tr>
        <w:trPr>
          <w:cantSplit/>
        </w:trPr>
        <w:tc>
          <w:tcPr>
            <w:tcW w:type="dxa" w:w="3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Wisden: IPL 2026 unsold list</w:t>
            </w:r>
          </w:p>
        </w:tc>
        <w:tc>
          <w:tcPr>
            <w:tcW w:type="dxa" w:w="37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Players unsold at the latest auction</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79 players</w:t>
            </w:r>
          </w:p>
        </w:tc>
      </w:tr>
    </w:tbl>
    <w:p>
      <w:pPr>
        <w:spacing w:after="160"/>
      </w:pPr>
    </w:p>
    <w:p>
      <w:pPr>
        <w:pStyle w:val="Heading2"/>
        <w:keepNext/>
      </w:pPr>
      <w:r>
        <w:rPr>
          <w:rFonts w:ascii="Times New Roman" w:cs="Times New Roman" w:eastAsia="Times New Roman" w:hAnsi="Times New Roman"/>
        </w:rPr>
        <w:t xml:space="preserve">2.2 Data Preparation</w:t>
      </w:r>
    </w:p>
    <w:p>
      <w:pPr>
        <w:keepNext/>
        <w:spacing w:after="140" w:line="340"/>
        <w:jc w:val="both"/>
      </w:pPr>
      <w:r>
        <w:rPr>
          <w:rFonts w:ascii="Times New Roman" w:cs="Times New Roman" w:eastAsia="Times New Roman" w:hAnsi="Times New Roman"/>
          <w:sz w:val="24"/>
          <w:szCs w:val="24"/>
        </w:rPr>
        <w:t xml:space="preserve">All cleaning is done in Power Query inside Power BI, so one Refresh rebuilds the model from the raw files. The main steps were:</w:t>
      </w:r>
    </w:p>
    <w:p>
      <w:pPr>
        <w:pStyle w:val="ListParagraph"/>
        <w:numPr>
          <w:ilvl w:val="0"/>
          <w:numId w:val="3"/>
        </w:numPr>
        <w:spacing w:after="80" w:line="320"/>
        <w:jc w:val="both"/>
      </w:pPr>
      <w:r>
        <w:rPr>
          <w:rFonts w:ascii="Times New Roman" w:cs="Times New Roman" w:eastAsia="Times New Roman" w:hAnsi="Times New Roman"/>
          <w:b/>
          <w:bCs/>
          <w:sz w:val="24"/>
          <w:szCs w:val="24"/>
        </w:rPr>
        <w:t xml:space="preserve">Standardising auction files: </w:t>
      </w:r>
      <w:r>
        <w:rPr>
          <w:rFonts w:ascii="Times New Roman" w:cs="Times New Roman" w:eastAsia="Times New Roman" w:hAnsi="Times New Roman"/>
          <w:sz w:val="24"/>
          <w:szCs w:val="24"/>
        </w:rPr>
        <w:t xml:space="preserve">each year has different columns and price formats; all prices were converted to crores (2013 from US dollars at ₹54 per $).</w:t>
      </w:r>
    </w:p>
    <w:p>
      <w:pPr>
        <w:pStyle w:val="ListParagraph"/>
        <w:numPr>
          <w:ilvl w:val="0"/>
          <w:numId w:val="3"/>
        </w:numPr>
        <w:spacing w:after="80" w:line="320"/>
        <w:jc w:val="both"/>
      </w:pPr>
      <w:r>
        <w:rPr>
          <w:rFonts w:ascii="Times New Roman" w:cs="Times New Roman" w:eastAsia="Times New Roman" w:hAnsi="Times New Roman"/>
          <w:b/>
          <w:bCs/>
          <w:sz w:val="24"/>
          <w:szCs w:val="24"/>
        </w:rPr>
        <w:t xml:space="preserve">Matching player names: </w:t>
      </w:r>
      <w:r>
        <w:rPr>
          <w:rFonts w:ascii="Times New Roman" w:cs="Times New Roman" w:eastAsia="Times New Roman" w:hAnsi="Times New Roman"/>
          <w:sz w:val="24"/>
          <w:szCs w:val="24"/>
        </w:rPr>
        <w:t xml:space="preserve">"Virat Kohli" in the auction is "V Kohli" in Cricsheet. Six matching passes (manual fixes, exact, initials, surname, fuzzy) link 99.0% of auction spend to a player.</w:t>
      </w:r>
    </w:p>
    <w:p>
      <w:pPr>
        <w:pStyle w:val="ListParagraph"/>
        <w:numPr>
          <w:ilvl w:val="0"/>
          <w:numId w:val="3"/>
        </w:numPr>
        <w:spacing w:after="80" w:line="320"/>
        <w:jc w:val="both"/>
      </w:pPr>
      <w:r>
        <w:rPr>
          <w:rFonts w:ascii="Times New Roman" w:cs="Times New Roman" w:eastAsia="Times New Roman" w:hAnsi="Times New Roman"/>
          <w:b/>
          <w:bCs/>
          <w:sz w:val="24"/>
          <w:szCs w:val="24"/>
        </w:rPr>
        <w:t xml:space="preserve">Team renames: </w:t>
      </w:r>
      <w:r>
        <w:rPr>
          <w:rFonts w:ascii="Times New Roman" w:cs="Times New Roman" w:eastAsia="Times New Roman" w:hAnsi="Times New Roman"/>
          <w:sz w:val="24"/>
          <w:szCs w:val="24"/>
        </w:rPr>
        <w:t xml:space="preserve">e.g. Delhi Daredevils → Delhi Capitals, Kings XI Punjab → Punjab Kings; 13 team keys in total.</w:t>
      </w:r>
    </w:p>
    <w:p>
      <w:pPr>
        <w:pStyle w:val="ListParagraph"/>
        <w:numPr>
          <w:ilvl w:val="0"/>
          <w:numId w:val="3"/>
        </w:numPr>
        <w:spacing w:after="80" w:line="320"/>
        <w:jc w:val="both"/>
      </w:pPr>
      <w:r>
        <w:rPr>
          <w:rFonts w:ascii="Times New Roman" w:cs="Times New Roman" w:eastAsia="Times New Roman" w:hAnsi="Times New Roman"/>
          <w:b/>
          <w:bCs/>
          <w:sz w:val="24"/>
          <w:szCs w:val="24"/>
        </w:rPr>
        <w:t xml:space="preserve">Contracts: </w:t>
      </w:r>
      <w:r>
        <w:rPr>
          <w:rFonts w:ascii="Times New Roman" w:cs="Times New Roman" w:eastAsia="Times New Roman" w:hAnsi="Times New Roman"/>
          <w:sz w:val="24"/>
          <w:szCs w:val="24"/>
        </w:rPr>
        <w:t xml:space="preserve">a price covers the auction season and later seasons with the same team, until the next auction or mega auction.</w:t>
      </w:r>
    </w:p>
    <w:p>
      <w:pPr>
        <w:pStyle w:val="Heading2"/>
        <w:keepNext/>
      </w:pPr>
      <w:r>
        <w:rPr>
          <w:rFonts w:ascii="Times New Roman" w:cs="Times New Roman" w:eastAsia="Times New Roman" w:hAnsi="Times New Roman"/>
        </w:rPr>
        <w:t xml:space="preserve">2.3 Data Model</w:t>
      </w:r>
    </w:p>
    <w:p>
      <w:pPr>
        <w:spacing w:after="140" w:line="340"/>
        <w:jc w:val="both"/>
      </w:pPr>
      <w:r>
        <w:rPr>
          <w:rFonts w:ascii="Times New Roman" w:cs="Times New Roman" w:eastAsia="Times New Roman" w:hAnsi="Times New Roman"/>
          <w:sz w:val="24"/>
          <w:szCs w:val="24"/>
        </w:rPr>
        <w:t xml:space="preserve">The model is a star schema with three fact tables (player-season, auction buy, team-match) and four dimensions (player, team, season, team-season), all relationships one-to-many. The 93 measures are written in DAX.</w:t>
      </w:r>
    </w:p>
    <w:p>
      <w:pPr>
        <w:keepNext/>
        <w:spacing w:after="60" w:before="120"/>
        <w:jc w:val="center"/>
      </w:pPr>
      <w:r>
        <w:drawing>
          <wp:inline distT="0" distB="0" distL="0" distR="0">
            <wp:extent cx="4953000" cy="2228850"/>
            <wp:effectExtent t="0" r="0" b="0" l="0"/>
            <wp:docPr id="2" name="diagram_star_schema.png" descr="Star schema of the Power BI model" title="Star schema of the Power BI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2288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2.1: Star schema of the Power BI model</w:t>
      </w:r>
    </w:p>
    <w:p>
      <w:pPr>
        <w:pStyle w:val="Heading2"/>
        <w:keepNext/>
      </w:pPr>
      <w:r>
        <w:rPr>
          <w:rFonts w:ascii="Times New Roman" w:cs="Times New Roman" w:eastAsia="Times New Roman" w:hAnsi="Times New Roman"/>
        </w:rPr>
        <w:t xml:space="preserve">2.4 Value Metrics</w:t>
      </w:r>
    </w:p>
    <w:p>
      <w:pPr>
        <w:spacing w:after="140" w:line="340"/>
        <w:jc w:val="both"/>
      </w:pPr>
      <w:r>
        <w:rPr>
          <w:rFonts w:ascii="Times New Roman" w:cs="Times New Roman" w:eastAsia="Times New Roman" w:hAnsi="Times New Roman"/>
          <w:b/>
          <w:bCs/>
          <w:sz w:val="24"/>
          <w:szCs w:val="24"/>
        </w:rPr>
        <w:t xml:space="preserve">Impact Points </w:t>
      </w:r>
      <w:r>
        <w:rPr>
          <w:rFonts w:ascii="Times New Roman" w:cs="Times New Roman" w:eastAsia="Times New Roman" w:hAnsi="Times New Roman"/>
          <w:sz w:val="24"/>
          <w:szCs w:val="24"/>
        </w:rPr>
        <w:t xml:space="preserve">put batting, bowling and fielding on one scale (a run is 1 point, a wicket 25, a catch 8):</w:t>
      </w:r>
    </w:p>
    <w:p>
      <w:pPr>
        <w:spacing w:after="160" w:before="100"/>
        <w:jc w:val="center"/>
      </w:pPr>
      <w:r>
        <w:rPr>
          <w:rFonts w:ascii="Cambria Math" w:cs="Cambria Math" w:eastAsia="Cambria Math" w:hAnsi="Cambria Math"/>
          <w:i/>
          <w:iCs/>
          <w:sz w:val="24"/>
          <w:szCs w:val="24"/>
        </w:rPr>
        <w:t xml:space="preserve">Impact = Runs + Fours + 2·Sixes + 25·Wickets + Dot balls + 8·Catches + 12·Stumpings + 6·Run-outs</w:t>
      </w:r>
    </w:p>
    <w:p>
      <w:pPr>
        <w:spacing w:after="140" w:line="340"/>
        <w:jc w:val="both"/>
      </w:pPr>
      <w:r>
        <w:rPr>
          <w:rFonts w:ascii="Times New Roman" w:cs="Times New Roman" w:eastAsia="Times New Roman" w:hAnsi="Times New Roman"/>
          <w:b/>
          <w:bCs/>
          <w:sz w:val="24"/>
          <w:szCs w:val="24"/>
        </w:rPr>
        <w:t xml:space="preserve">Value Index </w:t>
      </w:r>
      <w:r>
        <w:rPr>
          <w:rFonts w:ascii="Times New Roman" w:cs="Times New Roman" w:eastAsia="Times New Roman" w:hAnsi="Times New Roman"/>
          <w:sz w:val="24"/>
          <w:szCs w:val="24"/>
        </w:rPr>
        <w:t xml:space="preserve">compares a player's share of the league's impact with their share of the league's auction spend in that season. 1.00 is fair value; above 1 is a bargain, below 1 is overpaid. For groups across seasons the shares are summed season by season, so each buy is judged against its own year's market.</w:t>
      </w:r>
    </w:p>
    <w:p>
      <w:pPr>
        <w:spacing w:after="160" w:before="100"/>
        <w:jc w:val="center"/>
      </w:pPr>
      <w:r>
        <w:rPr>
          <w:rFonts w:ascii="Cambria Math" w:cs="Cambria Math" w:eastAsia="Cambria Math" w:hAnsi="Cambria Math"/>
          <w:i/>
          <w:iCs/>
          <w:sz w:val="24"/>
          <w:szCs w:val="24"/>
        </w:rPr>
        <w:t xml:space="preserve">Value Index = (Impact ÷ League Impact) ÷ (Price ÷ League Spend)</w:t>
      </w:r>
    </w:p>
    <w:p>
      <w:pPr>
        <w:spacing w:after="140" w:line="340"/>
        <w:jc w:val="both"/>
      </w:pPr>
      <w:r>
        <w:rPr>
          <w:rFonts w:ascii="Times New Roman" w:cs="Times New Roman" w:eastAsia="Times New Roman" w:hAnsi="Times New Roman"/>
          <w:b/>
          <w:bCs/>
          <w:sz w:val="24"/>
          <w:szCs w:val="24"/>
        </w:rPr>
        <w:t xml:space="preserve">Fair value and overpay: </w:t>
      </w:r>
      <w:r>
        <w:rPr>
          <w:rFonts w:ascii="Times New Roman" w:cs="Times New Roman" w:eastAsia="Times New Roman" w:hAnsi="Times New Roman"/>
          <w:sz w:val="24"/>
          <w:szCs w:val="24"/>
        </w:rPr>
        <w:t xml:space="preserve">fair value is what the output would have cost at the league's price per Impact Point; Overpay = Price − Fair value, in crores. </w:t>
      </w:r>
      <w:r>
        <w:rPr>
          <w:rFonts w:ascii="Times New Roman" w:cs="Times New Roman" w:eastAsia="Times New Roman" w:hAnsi="Times New Roman"/>
          <w:b/>
          <w:bCs/>
          <w:sz w:val="24"/>
          <w:szCs w:val="24"/>
        </w:rPr>
        <w:t xml:space="preserve">Value quadrants: </w:t>
      </w:r>
      <w:r>
        <w:rPr>
          <w:rFonts w:ascii="Times New Roman" w:cs="Times New Roman" w:eastAsia="Times New Roman" w:hAnsi="Times New Roman"/>
          <w:sz w:val="24"/>
          <w:szCs w:val="24"/>
        </w:rPr>
        <w:t xml:space="preserve">each buy is compared with the season's median price and median impact and labelled Star (high price, high impact), Steal (low price, high impact), Overpaid (high price, low impact) or Passenger (low price, low impact).</w:t>
      </w:r>
    </w:p>
    <w:p>
      <w:pPr>
        <w:pStyle w:val="Heading1"/>
      </w:pPr>
      <w:r>
        <w:rPr>
          <w:rFonts w:ascii="Times New Roman" w:cs="Times New Roman" w:eastAsia="Times New Roman" w:hAnsi="Times New Roman"/>
        </w:rPr>
        <w:t xml:space="preserve">3. Power BI Dashboard</w:t>
      </w:r>
    </w:p>
    <w:p>
      <w:pPr>
        <w:spacing w:after="140" w:line="340"/>
        <w:jc w:val="both"/>
      </w:pPr>
      <w:r>
        <w:rPr>
          <w:rFonts w:ascii="Times New Roman" w:cs="Times New Roman" w:eastAsia="Times New Roman" w:hAnsi="Times New Roman"/>
          <w:sz w:val="24"/>
          <w:szCs w:val="24"/>
        </w:rPr>
        <w:t xml:space="preserve">Each page title states its finding with numbers, a "So what" panel states the decision it supports, and colours keep a fixed meaning (green Steal, yellow Star, red Overpaid, grey Passenger). Table 3.1 lists the pages.</w:t>
      </w:r>
    </w:p>
    <w:p>
      <w:pPr>
        <w:keepNext/>
        <w:spacing w:after="80" w:before="120"/>
        <w:jc w:val="center"/>
      </w:pPr>
      <w:r>
        <w:rPr>
          <w:rFonts w:ascii="Times New Roman" w:cs="Times New Roman" w:eastAsia="Times New Roman" w:hAnsi="Times New Roman"/>
          <w:b/>
          <w:bCs/>
          <w:sz w:val="20"/>
          <w:szCs w:val="20"/>
        </w:rPr>
        <w:t xml:space="preserve">Table 3.1: Pages of the Power BI report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300"/>
        <w:gridCol w:w="3426"/>
      </w:tblGrid>
      <w:tr>
        <w:trPr>
          <w:tblHeader/>
        </w:trPr>
        <w:tc>
          <w:tcPr>
            <w:tcW w:type="dxa" w:w="23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Page</w:t>
            </w:r>
          </w:p>
        </w:tc>
        <w:tc>
          <w:tcPr>
            <w:tcW w:type="dxa" w:w="33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Question answered</w:t>
            </w:r>
          </w:p>
        </w:tc>
        <w:tc>
          <w:tcPr>
            <w:tcW w:type="dxa" w:w="3426"/>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Main visuals</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Home</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Overview</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KPI strip and page cards</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1 Auction Market</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How much have prices inflated?</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Average price per season, spend by role</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2 Franchise Efficiency</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Who gets most impact per crore; does it win?</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Value Index by team, spend vs win % scatter</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3 Player Value Map</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Stars, Steals, Overpaid</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Price vs Impact scatter with median lines</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4 Steals and Overpaid</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Best and worst buys</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Top-10 tables, Bargain XI, Overpaid XI</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5 Role and Nationality</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Are roles / overseas players worth it?</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Value Index by role, Indian vs overseas</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6 Price Brackets</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Do cheap buys beat marquee buys?</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Value Index and quadrant mix by bracket</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7 Player Profile</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One player's history (drill-through)</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Price and impact by season</w:t>
            </w:r>
          </w:p>
        </w:tc>
      </w:tr>
      <w:tr>
        <w:trPr>
          <w:cantSplit/>
        </w:trPr>
        <w:tc>
          <w:tcPr>
            <w:tcW w:type="dxa" w:w="2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8 Methodology</w:t>
            </w:r>
          </w:p>
        </w:tc>
        <w:tc>
          <w:tcPr>
            <w:tcW w:type="dxa" w:w="33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How is value measured?</w:t>
            </w:r>
          </w:p>
        </w:tc>
        <w:tc>
          <w:tcPr>
            <w:tcW w:type="dxa" w:w="34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Definitions and sources</w:t>
            </w:r>
          </w:p>
        </w:tc>
      </w:tr>
    </w:tbl>
    <w:p>
      <w:pPr>
        <w:spacing w:after="160"/>
      </w:pPr>
    </w:p>
    <w:p>
      <w:pPr>
        <w:keepNext/>
        <w:spacing w:after="60" w:before="120"/>
        <w:jc w:val="center"/>
      </w:pPr>
      <w:r>
        <w:drawing>
          <wp:inline distT="0" distB="0" distL="0" distR="0">
            <wp:extent cx="5334000" cy="3086100"/>
            <wp:effectExtent t="0" r="0" b="0" l="0"/>
            <wp:docPr id="3" name="00_home.png"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861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3.1: Home page</w:t>
      </w:r>
    </w:p>
    <w:p>
      <w:pPr>
        <w:keepNext/>
        <w:spacing w:after="60" w:before="120"/>
        <w:jc w:val="center"/>
      </w:pPr>
      <w:r>
        <w:drawing>
          <wp:inline distT="0" distB="0" distL="0" distR="0">
            <wp:extent cx="5334000" cy="3086100"/>
            <wp:effectExtent t="0" r="0" b="0" l="0"/>
            <wp:docPr id="4" name="02_franchise_efficiency.png" descr="Franchise Efficiency" title="Franchise Effici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861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3.2: Franchise Efficiency</w:t>
      </w:r>
    </w:p>
    <w:p>
      <w:pPr>
        <w:keepNext/>
        <w:spacing w:after="60" w:before="120"/>
        <w:jc w:val="center"/>
      </w:pPr>
      <w:r>
        <w:drawing>
          <wp:inline distT="0" distB="0" distL="0" distR="0">
            <wp:extent cx="5334000" cy="3086100"/>
            <wp:effectExtent t="0" r="0" b="0" l="0"/>
            <wp:docPr id="5" name="03_player_value_map.png" descr="Player Value Map" title="Player Valu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861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3.3: Player Value Map</w:t>
      </w:r>
    </w:p>
    <w:p>
      <w:pPr>
        <w:keepNext/>
        <w:spacing w:after="60" w:before="120"/>
        <w:jc w:val="center"/>
      </w:pPr>
      <w:r>
        <w:drawing>
          <wp:inline distT="0" distB="0" distL="0" distR="0">
            <wp:extent cx="5334000" cy="3086100"/>
            <wp:effectExtent t="0" r="0" b="0" l="0"/>
            <wp:docPr id="6" name="04_steals_and_overpaid.png" descr="Steals and Overpaid" title="Steals and Overp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861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3.4: Steals and Overpaid</w:t>
      </w:r>
    </w:p>
    <w:p>
      <w:pPr>
        <w:pStyle w:val="Heading1"/>
      </w:pPr>
      <w:r>
        <w:rPr>
          <w:rFonts w:ascii="Times New Roman" w:cs="Times New Roman" w:eastAsia="Times New Roman" w:hAnsi="Times New Roman"/>
        </w:rPr>
        <w:t xml:space="preserve">4. Results and Analysis</w:t>
      </w:r>
    </w:p>
    <w:p>
      <w:pPr>
        <w:pStyle w:val="Heading2"/>
        <w:keepNext/>
      </w:pPr>
      <w:r>
        <w:rPr>
          <w:rFonts w:ascii="Times New Roman" w:cs="Times New Roman" w:eastAsia="Times New Roman" w:hAnsi="Times New Roman"/>
        </w:rPr>
        <w:t xml:space="preserve">4.1 Auction Market</w:t>
      </w:r>
    </w:p>
    <w:p>
      <w:pPr>
        <w:spacing w:after="140" w:line="340"/>
        <w:jc w:val="both"/>
      </w:pPr>
      <w:r>
        <w:rPr>
          <w:rFonts w:ascii="Times New Roman" w:cs="Times New Roman" w:eastAsia="Times New Roman" w:hAnsi="Times New Roman"/>
          <w:sz w:val="24"/>
          <w:szCs w:val="24"/>
        </w:rPr>
        <w:t xml:space="preserve">Prices have doubled: the average buy cost ₹1.73 Cr in 2013 and ₹3.51 Cr at the 2025 mega auction (2.0×). In 2025–26, bids ended on average 245% above the base price. The highest price is ₹27 Cr for Rishabh Pant (LSG, 2025).</w:t>
      </w:r>
    </w:p>
    <w:p>
      <w:pPr>
        <w:pStyle w:val="Heading2"/>
        <w:keepNext/>
      </w:pPr>
      <w:r>
        <w:rPr>
          <w:rFonts w:ascii="Times New Roman" w:cs="Times New Roman" w:eastAsia="Times New Roman" w:hAnsi="Times New Roman"/>
        </w:rPr>
        <w:t xml:space="preserve">4.2 Franchise Efficiency and Winning</w:t>
      </w:r>
    </w:p>
    <w:p>
      <w:pPr>
        <w:spacing w:after="140" w:line="340"/>
        <w:jc w:val="both"/>
      </w:pPr>
      <w:r>
        <w:rPr>
          <w:rFonts w:ascii="Times New Roman" w:cs="Times New Roman" w:eastAsia="Times New Roman" w:hAnsi="Times New Roman"/>
          <w:sz w:val="24"/>
          <w:szCs w:val="24"/>
        </w:rPr>
        <w:t xml:space="preserve">Across 123 franchise-seasons, spend has no link with winning (r = −0.03 between spend and win %), but spending efficiently does (r = +0.35 between Value Index and win %). Over 2013–2026, CSK (1.19) and RR (1.14) ran the most efficient auctions.</w:t>
      </w:r>
    </w:p>
    <w:p>
      <w:pPr>
        <w:keepNext/>
        <w:spacing w:after="80" w:before="120"/>
        <w:jc w:val="center"/>
      </w:pPr>
      <w:r>
        <w:rPr>
          <w:rFonts w:ascii="Times New Roman" w:cs="Times New Roman" w:eastAsia="Times New Roman" w:hAnsi="Times New Roman"/>
          <w:b/>
          <w:bCs/>
          <w:sz w:val="20"/>
          <w:szCs w:val="20"/>
        </w:rPr>
        <w:t xml:space="preserve">Table 4.1: Franchise efficiency in 2026 (top and bottom three)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1900"/>
        <w:gridCol w:w="1500"/>
        <w:gridCol w:w="1826"/>
      </w:tblGrid>
      <w:tr>
        <w:trPr>
          <w:tblHeader/>
        </w:trPr>
        <w:tc>
          <w:tcPr>
            <w:tcW w:type="dxa" w:w="38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Franchise</w:t>
            </w:r>
          </w:p>
        </w:tc>
        <w:tc>
          <w:tcPr>
            <w:tcW w:type="dxa" w:w="19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20"/>
                <w:szCs w:val="20"/>
              </w:rPr>
              <w:t xml:space="preserve">Spend</w:t>
            </w:r>
          </w:p>
        </w:tc>
        <w:tc>
          <w:tcPr>
            <w:tcW w:type="dxa" w:w="15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20"/>
                <w:szCs w:val="20"/>
              </w:rPr>
              <w:t xml:space="preserve">Win %</w:t>
            </w:r>
          </w:p>
        </w:tc>
        <w:tc>
          <w:tcPr>
            <w:tcW w:type="dxa" w:w="1826"/>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20"/>
                <w:szCs w:val="20"/>
              </w:rPr>
              <w:t xml:space="preserve">Value Index</w:t>
            </w:r>
          </w:p>
        </w:tc>
      </w:tr>
      <w:tr>
        <w:trPr>
          <w:cantSplit/>
        </w:trPr>
        <w:tc>
          <w:tcPr>
            <w:tcW w:type="dxa" w:w="38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Rajasthan Royals</w:t>
            </w:r>
          </w:p>
        </w:tc>
        <w:tc>
          <w:tcPr>
            <w:tcW w:type="dxa" w:w="19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₹34.3 Cr</w:t>
            </w:r>
          </w:p>
        </w:tc>
        <w:tc>
          <w:tcPr>
            <w:tcW w:type="dxa" w:w="1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56.3%</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1.63</w:t>
            </w:r>
          </w:p>
        </w:tc>
      </w:tr>
      <w:tr>
        <w:trPr>
          <w:cantSplit/>
        </w:trPr>
        <w:tc>
          <w:tcPr>
            <w:tcW w:type="dxa" w:w="38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Sunrisers Hyderabad</w:t>
            </w:r>
          </w:p>
        </w:tc>
        <w:tc>
          <w:tcPr>
            <w:tcW w:type="dxa" w:w="19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₹41.8 Cr</w:t>
            </w:r>
          </w:p>
        </w:tc>
        <w:tc>
          <w:tcPr>
            <w:tcW w:type="dxa" w:w="1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60.0%</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1.33</w:t>
            </w:r>
          </w:p>
        </w:tc>
      </w:tr>
      <w:tr>
        <w:trPr>
          <w:cantSplit/>
        </w:trPr>
        <w:tc>
          <w:tcPr>
            <w:tcW w:type="dxa" w:w="38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Gujarat Titans</w:t>
            </w:r>
          </w:p>
        </w:tc>
        <w:tc>
          <w:tcPr>
            <w:tcW w:type="dxa" w:w="19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₹69.3 Cr</w:t>
            </w:r>
          </w:p>
        </w:tc>
        <w:tc>
          <w:tcPr>
            <w:tcW w:type="dxa" w:w="1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58.8%</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1.22</w:t>
            </w:r>
          </w:p>
        </w:tc>
      </w:tr>
      <w:tr>
        <w:trPr>
          <w:cantSplit/>
        </w:trPr>
        <w:tc>
          <w:tcPr>
            <w:tcW w:type="dxa" w:w="38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Delhi Capitals</w:t>
            </w:r>
          </w:p>
        </w:tc>
        <w:tc>
          <w:tcPr>
            <w:tcW w:type="dxa" w:w="19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₹73.2 Cr</w:t>
            </w:r>
          </w:p>
        </w:tc>
        <w:tc>
          <w:tcPr>
            <w:tcW w:type="dxa" w:w="1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50.0%</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0.83</w:t>
            </w:r>
          </w:p>
        </w:tc>
      </w:tr>
      <w:tr>
        <w:trPr>
          <w:cantSplit/>
        </w:trPr>
        <w:tc>
          <w:tcPr>
            <w:tcW w:type="dxa" w:w="38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Kolkata Knight Riders</w:t>
            </w:r>
          </w:p>
        </w:tc>
        <w:tc>
          <w:tcPr>
            <w:tcW w:type="dxa" w:w="19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₹72.8 Cr</w:t>
            </w:r>
          </w:p>
        </w:tc>
        <w:tc>
          <w:tcPr>
            <w:tcW w:type="dxa" w:w="1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46.2%</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0.81</w:t>
            </w:r>
          </w:p>
        </w:tc>
      </w:tr>
      <w:tr>
        <w:trPr>
          <w:cantSplit/>
        </w:trPr>
        <w:tc>
          <w:tcPr>
            <w:tcW w:type="dxa" w:w="38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Punjab Kings</w:t>
            </w:r>
          </w:p>
        </w:tc>
        <w:tc>
          <w:tcPr>
            <w:tcW w:type="dxa" w:w="19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20"/>
                <w:szCs w:val="20"/>
              </w:rPr>
              <w:t xml:space="preserve">₹108.1 Cr</w:t>
            </w:r>
          </w:p>
        </w:tc>
        <w:tc>
          <w:tcPr>
            <w:tcW w:type="dxa" w:w="15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20"/>
                <w:szCs w:val="20"/>
              </w:rPr>
              <w:t xml:space="preserve">53.8%</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20"/>
                <w:szCs w:val="20"/>
              </w:rPr>
              <w:t xml:space="preserve">0.72</w:t>
            </w:r>
          </w:p>
        </w:tc>
      </w:tr>
    </w:tbl>
    <w:p>
      <w:pPr>
        <w:spacing w:after="160"/>
      </w:pPr>
    </w:p>
    <w:p>
      <w:pPr>
        <w:pStyle w:val="Heading2"/>
        <w:keepNext/>
      </w:pPr>
      <w:r>
        <w:rPr>
          <w:rFonts w:ascii="Times New Roman" w:cs="Times New Roman" w:eastAsia="Times New Roman" w:hAnsi="Times New Roman"/>
        </w:rPr>
        <w:t xml:space="preserve">4.3 Steals and Overpaid</w:t>
      </w:r>
    </w:p>
    <w:p>
      <w:pPr>
        <w:spacing w:after="140" w:line="340"/>
        <w:jc w:val="both"/>
      </w:pPr>
      <w:r>
        <w:rPr>
          <w:rFonts w:ascii="Times New Roman" w:cs="Times New Roman" w:eastAsia="Times New Roman" w:hAnsi="Times New Roman"/>
          <w:sz w:val="24"/>
          <w:szCs w:val="24"/>
        </w:rPr>
        <w:t xml:space="preserve">In 2026, of 171 priced players, 57 were Stars, 24 Steals, 8 Overpaid and 6 Passengers. The best value sat in ₹30-lakh buys, and all five most overpaid players cost ₹14 Cr or more.</w:t>
      </w:r>
    </w:p>
    <w:p>
      <w:pPr>
        <w:keepNext/>
        <w:spacing w:after="80" w:before="120"/>
        <w:jc w:val="center"/>
      </w:pPr>
      <w:r>
        <w:rPr>
          <w:rFonts w:ascii="Times New Roman" w:cs="Times New Roman" w:eastAsia="Times New Roman" w:hAnsi="Times New Roman"/>
          <w:b/>
          <w:bCs/>
          <w:sz w:val="20"/>
          <w:szCs w:val="20"/>
        </w:rPr>
        <w:t xml:space="preserve">Table 4.2: Top steals and most overpaid buys, 2026 (minimum 5 matches)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0"/>
        <w:gridCol w:w="1000"/>
        <w:gridCol w:w="1150"/>
        <w:gridCol w:w="2400"/>
        <w:gridCol w:w="1150"/>
        <w:gridCol w:w="1276"/>
      </w:tblGrid>
      <w:tr>
        <w:trPr>
          <w:tblHeader/>
        </w:trPr>
        <w:tc>
          <w:tcPr>
            <w:tcW w:type="dxa" w:w="205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18"/>
                <w:szCs w:val="18"/>
              </w:rPr>
              <w:t xml:space="preserve">Top steals</w:t>
            </w:r>
          </w:p>
        </w:tc>
        <w:tc>
          <w:tcPr>
            <w:tcW w:type="dxa" w:w="10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18"/>
                <w:szCs w:val="18"/>
              </w:rPr>
              <w:t xml:space="preserve">Price</w:t>
            </w:r>
          </w:p>
        </w:tc>
        <w:tc>
          <w:tcPr>
            <w:tcW w:type="dxa" w:w="115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18"/>
                <w:szCs w:val="18"/>
              </w:rPr>
              <w:t xml:space="preserve">Value Index</w:t>
            </w:r>
          </w:p>
        </w:tc>
        <w:tc>
          <w:tcPr>
            <w:tcW w:type="dxa" w:w="24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18"/>
                <w:szCs w:val="18"/>
              </w:rPr>
              <w:t xml:space="preserve">Most overpaid</w:t>
            </w:r>
          </w:p>
        </w:tc>
        <w:tc>
          <w:tcPr>
            <w:tcW w:type="dxa" w:w="115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18"/>
                <w:szCs w:val="18"/>
              </w:rPr>
              <w:t xml:space="preserve">Price</w:t>
            </w:r>
          </w:p>
        </w:tc>
        <w:tc>
          <w:tcPr>
            <w:tcW w:type="dxa" w:w="1276"/>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18"/>
                <w:szCs w:val="18"/>
              </w:rPr>
              <w:t xml:space="preserve">Overpaid by</w:t>
            </w:r>
          </w:p>
        </w:tc>
      </w:tr>
      <w:tr>
        <w:trPr>
          <w:cantSplit/>
        </w:trPr>
        <w:tc>
          <w:tcPr>
            <w:tcW w:type="dxa" w:w="20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Kartik Tyagi (KKR)</w:t>
            </w:r>
          </w:p>
        </w:tc>
        <w:tc>
          <w:tcPr>
            <w:tcW w:type="dxa" w:w="1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₹0.3 Cr</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33.95</w:t>
            </w:r>
          </w:p>
        </w:tc>
        <w:tc>
          <w:tcPr>
            <w:tcW w:type="dxa" w:w="24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Rishabh Pant (LSG)</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₹27.0 Cr</w:t>
            </w:r>
          </w:p>
        </w:tc>
        <w:tc>
          <w:tcPr>
            <w:tcW w:type="dxa" w:w="127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₹19.5 Cr</w:t>
            </w:r>
          </w:p>
        </w:tc>
      </w:tr>
      <w:tr>
        <w:trPr>
          <w:cantSplit/>
        </w:trPr>
        <w:tc>
          <w:tcPr>
            <w:tcW w:type="dxa" w:w="20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Prince Yadav (LSG)</w:t>
            </w:r>
          </w:p>
        </w:tc>
        <w:tc>
          <w:tcPr>
            <w:tcW w:type="dxa" w:w="1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₹0.3 Cr</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30.47</w:t>
            </w:r>
          </w:p>
        </w:tc>
        <w:tc>
          <w:tcPr>
            <w:tcW w:type="dxa" w:w="24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Shreyas Iyer (PBKS)</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₹26.75 Cr</w:t>
            </w:r>
          </w:p>
        </w:tc>
        <w:tc>
          <w:tcPr>
            <w:tcW w:type="dxa" w:w="127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₹15.8 Cr</w:t>
            </w:r>
          </w:p>
        </w:tc>
      </w:tr>
      <w:tr>
        <w:trPr>
          <w:cantSplit/>
        </w:trPr>
        <w:tc>
          <w:tcPr>
            <w:tcW w:type="dxa" w:w="20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Sakib Hussain (SRH)</w:t>
            </w:r>
          </w:p>
        </w:tc>
        <w:tc>
          <w:tcPr>
            <w:tcW w:type="dxa" w:w="1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₹0.3 Cr</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26.27</w:t>
            </w:r>
          </w:p>
        </w:tc>
        <w:tc>
          <w:tcPr>
            <w:tcW w:type="dxa" w:w="24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Cameron Green (KKR)</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₹25.2 Cr</w:t>
            </w:r>
          </w:p>
        </w:tc>
        <w:tc>
          <w:tcPr>
            <w:tcW w:type="dxa" w:w="127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₹14.2 Cr</w:t>
            </w:r>
          </w:p>
        </w:tc>
      </w:tr>
      <w:tr>
        <w:trPr>
          <w:cantSplit/>
        </w:trPr>
        <w:tc>
          <w:tcPr>
            <w:tcW w:type="dxa" w:w="20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Brijesh Sharma (RR)</w:t>
            </w:r>
          </w:p>
        </w:tc>
        <w:tc>
          <w:tcPr>
            <w:tcW w:type="dxa" w:w="1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₹0.3 Cr</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24.62</w:t>
            </w:r>
          </w:p>
        </w:tc>
        <w:tc>
          <w:tcPr>
            <w:tcW w:type="dxa" w:w="24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18"/>
                <w:szCs w:val="18"/>
              </w:rPr>
              <w:t xml:space="preserve">Prashant Veer (CSK)</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₹14.2 Cr</w:t>
            </w:r>
          </w:p>
        </w:tc>
        <w:tc>
          <w:tcPr>
            <w:tcW w:type="dxa" w:w="127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18"/>
                <w:szCs w:val="18"/>
              </w:rPr>
              <w:t xml:space="preserve">₹12.4 Cr</w:t>
            </w:r>
          </w:p>
        </w:tc>
      </w:tr>
      <w:tr>
        <w:trPr>
          <w:cantSplit/>
        </w:trPr>
        <w:tc>
          <w:tcPr>
            <w:tcW w:type="dxa" w:w="20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18"/>
                <w:szCs w:val="18"/>
              </w:rPr>
              <w:t xml:space="preserve">Praful Hinge (SRH)</w:t>
            </w:r>
          </w:p>
        </w:tc>
        <w:tc>
          <w:tcPr>
            <w:tcW w:type="dxa" w:w="1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18"/>
                <w:szCs w:val="18"/>
              </w:rPr>
              <w:t xml:space="preserve">₹0.3 Cr</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18"/>
                <w:szCs w:val="18"/>
              </w:rPr>
              <w:t xml:space="preserve">24.23</w:t>
            </w:r>
          </w:p>
        </w:tc>
        <w:tc>
          <w:tcPr>
            <w:tcW w:type="dxa" w:w="24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18"/>
                <w:szCs w:val="18"/>
              </w:rPr>
              <w:t xml:space="preserve">Yuzvendra Chahal (PBKS)</w:t>
            </w:r>
          </w:p>
        </w:tc>
        <w:tc>
          <w:tcPr>
            <w:tcW w:type="dxa" w:w="115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18"/>
                <w:szCs w:val="18"/>
              </w:rPr>
              <w:t xml:space="preserve">₹18.0 Cr</w:t>
            </w:r>
          </w:p>
        </w:tc>
        <w:tc>
          <w:tcPr>
            <w:tcW w:type="dxa" w:w="127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18"/>
                <w:szCs w:val="18"/>
              </w:rPr>
              <w:t xml:space="preserve">₹11.7 Cr</w:t>
            </w:r>
          </w:p>
        </w:tc>
      </w:tr>
    </w:tbl>
    <w:p>
      <w:pPr>
        <w:spacing w:after="160"/>
      </w:pPr>
    </w:p>
    <w:p>
      <w:pPr>
        <w:pStyle w:val="Heading2"/>
        <w:keepNext/>
      </w:pPr>
      <w:r>
        <w:rPr>
          <w:rFonts w:ascii="Times New Roman" w:cs="Times New Roman" w:eastAsia="Times New Roman" w:hAnsi="Times New Roman"/>
        </w:rPr>
        <w:t xml:space="preserve">4.4 Role and Nationality</w:t>
      </w:r>
    </w:p>
    <w:p>
      <w:pPr>
        <w:spacing w:after="140" w:line="340"/>
        <w:jc w:val="both"/>
      </w:pPr>
      <w:r>
        <w:rPr>
          <w:rFonts w:ascii="Times New Roman" w:cs="Times New Roman" w:eastAsia="Times New Roman" w:hAnsi="Times New Roman"/>
          <w:sz w:val="24"/>
          <w:szCs w:val="24"/>
        </w:rPr>
        <w:t xml:space="preserve">In 2026 overseas buys cost 2.4× as much as Indian buys but returned less per crore (Value Index 0.88 against 1.11). Over all seasons, Indian bowlers are the best-value role (1.22) and overseas bowlers the worst (0.84).</w:t>
      </w:r>
    </w:p>
    <w:p>
      <w:pPr>
        <w:pStyle w:val="Heading2"/>
        <w:keepNext/>
      </w:pPr>
      <w:r>
        <w:rPr>
          <w:rFonts w:ascii="Times New Roman" w:cs="Times New Roman" w:eastAsia="Times New Roman" w:hAnsi="Times New Roman"/>
        </w:rPr>
        <w:t xml:space="preserve">4.5 Price Brackets</w:t>
      </w:r>
    </w:p>
    <w:p>
      <w:pPr>
        <w:keepNext/>
        <w:spacing w:after="80" w:before="120"/>
        <w:jc w:val="center"/>
      </w:pPr>
      <w:r>
        <w:rPr>
          <w:rFonts w:ascii="Times New Roman" w:cs="Times New Roman" w:eastAsia="Times New Roman" w:hAnsi="Times New Roman"/>
          <w:b/>
          <w:bCs/>
          <w:sz w:val="20"/>
          <w:szCs w:val="20"/>
        </w:rPr>
        <w:t xml:space="preserve">Table 4.3: Value Index by price bracket, 2013–2026</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2200"/>
        <w:gridCol w:w="1826"/>
      </w:tblGrid>
      <w:tr>
        <w:trPr>
          <w:tblHeader/>
        </w:trPr>
        <w:tc>
          <w:tcPr>
            <w:tcW w:type="dxa" w:w="30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bCs/>
                <w:sz w:val="20"/>
                <w:szCs w:val="20"/>
              </w:rPr>
              <w:t xml:space="preserve">Price bracket</w:t>
            </w:r>
          </w:p>
        </w:tc>
        <w:tc>
          <w:tcPr>
            <w:tcW w:type="dxa" w:w="20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20"/>
                <w:szCs w:val="20"/>
              </w:rPr>
              <w:t xml:space="preserve">Player-seasons</w:t>
            </w:r>
          </w:p>
        </w:tc>
        <w:tc>
          <w:tcPr>
            <w:tcW w:type="dxa" w:w="2200"/>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20"/>
                <w:szCs w:val="20"/>
              </w:rPr>
              <w:t xml:space="preserve">Spend</w:t>
            </w:r>
          </w:p>
        </w:tc>
        <w:tc>
          <w:tcPr>
            <w:tcW w:type="dxa" w:w="1826"/>
            <w:tcBorders>
              <w:top w:val="single" w:color="9E9E9E" w:sz="4"/>
              <w:left w:val="single" w:color="9E9E9E" w:sz="4"/>
              <w:bottom w:val="single" w:color="9E9E9E" w:sz="4"/>
              <w:right w:val="single" w:color="9E9E9E" w:sz="4"/>
            </w:tcBorders>
            <w:shd w:fill="E7E3D8" w:color="auto" w:val="clear"/>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bCs/>
                <w:sz w:val="20"/>
                <w:szCs w:val="20"/>
              </w:rPr>
              <w:t xml:space="preserve">Value Index</w:t>
            </w:r>
          </w:p>
        </w:tc>
      </w:tr>
      <w:tr>
        <w:trPr>
          <w:cantSplit/>
        </w:trPr>
        <w:tc>
          <w:tcPr>
            <w:tcW w:type="dxa" w:w="3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Base price buy</w:t>
            </w:r>
          </w:p>
        </w:tc>
        <w:tc>
          <w:tcPr>
            <w:tcW w:type="dxa" w:w="2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569</w:t>
            </w:r>
          </w:p>
        </w:tc>
        <w:tc>
          <w:tcPr>
            <w:tcW w:type="dxa" w:w="22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₹189.2 Cr</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4.11</w:t>
            </w:r>
          </w:p>
        </w:tc>
      </w:tr>
      <w:tr>
        <w:trPr>
          <w:cantSplit/>
        </w:trPr>
        <w:tc>
          <w:tcPr>
            <w:tcW w:type="dxa" w:w="3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Under ₹2 Cr</w:t>
            </w:r>
          </w:p>
        </w:tc>
        <w:tc>
          <w:tcPr>
            <w:tcW w:type="dxa" w:w="2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708</w:t>
            </w:r>
          </w:p>
        </w:tc>
        <w:tc>
          <w:tcPr>
            <w:tcW w:type="dxa" w:w="22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₹592.6 Cr</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1.93</w:t>
            </w:r>
          </w:p>
        </w:tc>
      </w:tr>
      <w:tr>
        <w:trPr>
          <w:cantSplit/>
        </w:trPr>
        <w:tc>
          <w:tcPr>
            <w:tcW w:type="dxa" w:w="3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₹2 to 5 Cr</w:t>
            </w:r>
          </w:p>
        </w:tc>
        <w:tc>
          <w:tcPr>
            <w:tcW w:type="dxa" w:w="2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494</w:t>
            </w:r>
          </w:p>
        </w:tc>
        <w:tc>
          <w:tcPr>
            <w:tcW w:type="dxa" w:w="22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₹1,531.5 Cr</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1.01</w:t>
            </w:r>
          </w:p>
        </w:tc>
      </w:tr>
      <w:tr>
        <w:trPr>
          <w:cantSplit/>
        </w:trPr>
        <w:tc>
          <w:tcPr>
            <w:tcW w:type="dxa" w:w="3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left"/>
            </w:pPr>
            <w:r>
              <w:rPr>
                <w:rFonts w:ascii="Times New Roman" w:cs="Times New Roman" w:eastAsia="Times New Roman" w:hAnsi="Times New Roman"/>
                <w:b w:val="false"/>
                <w:bCs w:val="false"/>
                <w:sz w:val="20"/>
                <w:szCs w:val="20"/>
              </w:rPr>
              <w:t xml:space="preserve">₹5 to 10 Cr</w:t>
            </w:r>
          </w:p>
        </w:tc>
        <w:tc>
          <w:tcPr>
            <w:tcW w:type="dxa" w:w="2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271</w:t>
            </w:r>
          </w:p>
        </w:tc>
        <w:tc>
          <w:tcPr>
            <w:tcW w:type="dxa" w:w="22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₹1,868.3 Cr</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spacing w:after="0" w:line="260"/>
              <w:jc w:val="right"/>
            </w:pPr>
            <w:r>
              <w:rPr>
                <w:rFonts w:ascii="Times New Roman" w:cs="Times New Roman" w:eastAsia="Times New Roman" w:hAnsi="Times New Roman"/>
                <w:b w:val="false"/>
                <w:bCs w:val="false"/>
                <w:sz w:val="20"/>
                <w:szCs w:val="20"/>
              </w:rPr>
              <w:t xml:space="preserve">0.67</w:t>
            </w:r>
          </w:p>
        </w:tc>
      </w:tr>
      <w:tr>
        <w:trPr>
          <w:cantSplit/>
        </w:trPr>
        <w:tc>
          <w:tcPr>
            <w:tcW w:type="dxa" w:w="3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left"/>
            </w:pPr>
            <w:r>
              <w:rPr>
                <w:rFonts w:ascii="Times New Roman" w:cs="Times New Roman" w:eastAsia="Times New Roman" w:hAnsi="Times New Roman"/>
                <w:b w:val="false"/>
                <w:bCs w:val="false"/>
                <w:sz w:val="20"/>
                <w:szCs w:val="20"/>
              </w:rPr>
              <w:t xml:space="preserve">₹10 Cr and above</w:t>
            </w:r>
          </w:p>
        </w:tc>
        <w:tc>
          <w:tcPr>
            <w:tcW w:type="dxa" w:w="20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20"/>
                <w:szCs w:val="20"/>
              </w:rPr>
              <w:t xml:space="preserve">107</w:t>
            </w:r>
          </w:p>
        </w:tc>
        <w:tc>
          <w:tcPr>
            <w:tcW w:type="dxa" w:w="2200"/>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20"/>
                <w:szCs w:val="20"/>
              </w:rPr>
              <w:t xml:space="preserve">₹1,466.6 Cr</w:t>
            </w:r>
          </w:p>
        </w:tc>
        <w:tc>
          <w:tcPr>
            <w:tcW w:type="dxa" w:w="1826"/>
            <w:tcBorders>
              <w:top w:val="single" w:color="9E9E9E" w:sz="4"/>
              <w:left w:val="single" w:color="9E9E9E" w:sz="4"/>
              <w:bottom w:val="single" w:color="9E9E9E" w:sz="4"/>
              <w:right w:val="single" w:color="9E9E9E" w:sz="4"/>
            </w:tcBorders>
            <w:tcMar>
              <w:top w:type="dxa" w:w="60"/>
              <w:left w:type="dxa" w:w="100"/>
              <w:bottom w:type="dxa" w:w="60"/>
              <w:right w:type="dxa" w:w="100"/>
            </w:tcMar>
            <w:vAlign w:val="center"/>
          </w:tcPr>
          <w:p>
            <w:pPr>
              <w:keepNext w:val="false"/>
              <w:spacing w:after="0" w:line="260"/>
              <w:jc w:val="right"/>
            </w:pPr>
            <w:r>
              <w:rPr>
                <w:rFonts w:ascii="Times New Roman" w:cs="Times New Roman" w:eastAsia="Times New Roman" w:hAnsi="Times New Roman"/>
                <w:b w:val="false"/>
                <w:bCs w:val="false"/>
                <w:sz w:val="20"/>
                <w:szCs w:val="20"/>
              </w:rPr>
              <w:t xml:space="preserve">0.49</w:t>
            </w:r>
          </w:p>
        </w:tc>
      </w:tr>
    </w:tbl>
    <w:p>
      <w:pPr>
        <w:spacing w:after="160"/>
      </w:pPr>
    </w:p>
    <w:p>
      <w:pPr>
        <w:spacing w:after="140" w:line="340"/>
        <w:jc w:val="both"/>
      </w:pPr>
      <w:r>
        <w:rPr>
          <w:rFonts w:ascii="Times New Roman" w:cs="Times New Roman" w:eastAsia="Times New Roman" w:hAnsi="Times New Roman"/>
          <w:sz w:val="24"/>
          <w:szCs w:val="24"/>
        </w:rPr>
        <w:t xml:space="preserve">Value per crore falls steadily with price. Marquee players still perform (88% of ₹10 Cr+ player-seasons beat the median impact), but each crore buys far more output in the cheap brackets.</w:t>
      </w:r>
    </w:p>
    <w:p>
      <w:pPr>
        <w:pStyle w:val="Heading2"/>
        <w:keepNext/>
      </w:pPr>
      <w:r>
        <w:rPr>
          <w:rFonts w:ascii="Times New Roman" w:cs="Times New Roman" w:eastAsia="Times New Roman" w:hAnsi="Times New Roman"/>
        </w:rPr>
        <w:t xml:space="preserve">4.6 Validation</w:t>
      </w:r>
    </w:p>
    <w:p>
      <w:pPr>
        <w:spacing w:after="140" w:line="340"/>
        <w:jc w:val="both"/>
      </w:pPr>
      <w:r>
        <w:rPr>
          <w:rFonts w:ascii="Times New Roman" w:cs="Times New Roman" w:eastAsia="Times New Roman" w:hAnsi="Times New Roman"/>
          <w:sz w:val="24"/>
          <w:szCs w:val="24"/>
        </w:rPr>
        <w:t xml:space="preserve">Matches per season, Orange and Purple Cap winners and the 2026 auction total (77 players, ₹215.45 Cr) match official records; the league Value Index is exactly 1.00 in every season; and an independent Python re-computation gives identical numbers.</w:t>
      </w:r>
    </w:p>
    <w:p>
      <w:pPr>
        <w:pStyle w:val="Heading1"/>
      </w:pPr>
      <w:r>
        <w:rPr>
          <w:rFonts w:ascii="Times New Roman" w:cs="Times New Roman" w:eastAsia="Times New Roman" w:hAnsi="Times New Roman"/>
        </w:rPr>
        <w:t xml:space="preserve">5. Web Application (MERN)</w:t>
      </w:r>
    </w:p>
    <w:p>
      <w:pPr>
        <w:spacing w:after="140" w:line="340"/>
        <w:jc w:val="both"/>
      </w:pPr>
      <w:r>
        <w:rPr>
          <w:rFonts w:ascii="Times New Roman" w:cs="Times New Roman" w:eastAsia="Times New Roman" w:hAnsi="Times New Roman"/>
          <w:sz w:val="24"/>
          <w:szCs w:val="24"/>
        </w:rPr>
        <w:t xml:space="preserve">The web app shows the same pages and numbers as the dashboard, so anyone can open it in a browser without Power BI. The only difference is the data layer: the cleaned Power BI tables were exported to JSON and loaded into MongoDB Atlas (8 collections, 7,139 documents). An Express API reads them, React draws the charts, and the site is deployed on Vercel. The web app also adds player search and a Squad Builder that drafts a squad under the ₹120 Cr purse and IPL squad rules.</w:t>
      </w:r>
    </w:p>
    <w:p>
      <w:pPr>
        <w:keepNext/>
        <w:spacing w:after="60" w:before="120"/>
        <w:jc w:val="center"/>
      </w:pPr>
      <w:r>
        <w:drawing>
          <wp:inline distT="0" distB="0" distL="0" distR="0">
            <wp:extent cx="4953000" cy="1571625"/>
            <wp:effectExtent t="0" r="0" b="0" l="0"/>
            <wp:docPr id="7" name="diagram_architecture.png" descr="Architecture: one dataset, two front ends" title="Architecture: one dataset, two front 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157162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5.1: Architecture: one dataset, two front ends</w:t>
      </w:r>
    </w:p>
    <w:p>
      <w:pPr>
        <w:keepNext/>
        <w:spacing w:after="60" w:before="120"/>
        <w:jc w:val="center"/>
      </w:pPr>
      <w:r>
        <w:drawing>
          <wp:inline distT="0" distB="0" distL="0" distR="0">
            <wp:extent cx="4476750" cy="4105275"/>
            <wp:effectExtent t="0" r="0" b="0" l="0"/>
            <wp:docPr id="8" name="home.png" descr="Web app Home page" title="Web app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41052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5.2: Web app Home page</w:t>
      </w:r>
    </w:p>
    <w:p>
      <w:pPr>
        <w:pStyle w:val="Heading1"/>
      </w:pPr>
      <w:r>
        <w:rPr>
          <w:rFonts w:ascii="Times New Roman" w:cs="Times New Roman" w:eastAsia="Times New Roman" w:hAnsi="Times New Roman"/>
        </w:rPr>
        <w:t xml:space="preserve">6. Recommendations and Conclusion</w:t>
      </w:r>
    </w:p>
    <w:p>
      <w:pPr>
        <w:pStyle w:val="Heading2"/>
        <w:keepNext/>
      </w:pPr>
      <w:r>
        <w:rPr>
          <w:rFonts w:ascii="Times New Roman" w:cs="Times New Roman" w:eastAsia="Times New Roman" w:hAnsi="Times New Roman"/>
        </w:rPr>
        <w:t xml:space="preserve">6.1 Recommendations</w:t>
      </w:r>
    </w:p>
    <w:p>
      <w:pPr>
        <w:pStyle w:val="ListParagraph"/>
        <w:numPr>
          <w:ilvl w:val="0"/>
          <w:numId w:val="4"/>
        </w:numPr>
        <w:spacing w:after="80" w:line="320"/>
        <w:jc w:val="both"/>
      </w:pPr>
      <w:r>
        <w:rPr>
          <w:rFonts w:ascii="Times New Roman" w:cs="Times New Roman" w:eastAsia="Times New Roman" w:hAnsi="Times New Roman"/>
          <w:b/>
          <w:bCs/>
          <w:sz w:val="24"/>
          <w:szCs w:val="24"/>
        </w:rPr>
        <w:t xml:space="preserve">Keep Steals and Stars; release Overpaid and Passengers. </w:t>
      </w:r>
      <w:r>
        <w:rPr>
          <w:rFonts w:ascii="Times New Roman" w:cs="Times New Roman" w:eastAsia="Times New Roman" w:hAnsi="Times New Roman"/>
          <w:sz w:val="24"/>
          <w:szCs w:val="24"/>
        </w:rPr>
        <w:t xml:space="preserve">The Value Map gives a ready release shortlist.</w:t>
      </w:r>
    </w:p>
    <w:p>
      <w:pPr>
        <w:pStyle w:val="ListParagraph"/>
        <w:numPr>
          <w:ilvl w:val="0"/>
          <w:numId w:val="4"/>
        </w:numPr>
        <w:spacing w:after="80" w:line="320"/>
        <w:jc w:val="both"/>
      </w:pPr>
      <w:r>
        <w:rPr>
          <w:rFonts w:ascii="Times New Roman" w:cs="Times New Roman" w:eastAsia="Times New Roman" w:hAnsi="Times New Roman"/>
          <w:b/>
          <w:bCs/>
          <w:sz w:val="24"/>
          <w:szCs w:val="24"/>
        </w:rPr>
        <w:t xml:space="preserve">Build depth from base-price and under-₹2 Cr buys, </w:t>
      </w:r>
      <w:r>
        <w:rPr>
          <w:rFonts w:ascii="Times New Roman" w:cs="Times New Roman" w:eastAsia="Times New Roman" w:hAnsi="Times New Roman"/>
          <w:sz w:val="24"/>
          <w:szCs w:val="24"/>
        </w:rPr>
        <w:t xml:space="preserve">which return 2–4× fair value.</w:t>
      </w:r>
    </w:p>
    <w:p>
      <w:pPr>
        <w:pStyle w:val="ListParagraph"/>
        <w:numPr>
          <w:ilvl w:val="0"/>
          <w:numId w:val="4"/>
        </w:numPr>
        <w:spacing w:after="80" w:line="320"/>
        <w:jc w:val="both"/>
      </w:pPr>
      <w:r>
        <w:rPr>
          <w:rFonts w:ascii="Times New Roman" w:cs="Times New Roman" w:eastAsia="Times New Roman" w:hAnsi="Times New Roman"/>
          <w:b/>
          <w:bCs/>
          <w:sz w:val="24"/>
          <w:szCs w:val="24"/>
        </w:rPr>
        <w:t xml:space="preserve">Use overseas slots only on proven match-winners; </w:t>
      </w:r>
      <w:r>
        <w:rPr>
          <w:rFonts w:ascii="Times New Roman" w:cs="Times New Roman" w:eastAsia="Times New Roman" w:hAnsi="Times New Roman"/>
          <w:sz w:val="24"/>
          <w:szCs w:val="24"/>
        </w:rPr>
        <w:t xml:space="preserve">the premium is not earned on average.</w:t>
      </w:r>
    </w:p>
    <w:p>
      <w:pPr>
        <w:pStyle w:val="ListParagraph"/>
        <w:numPr>
          <w:ilvl w:val="0"/>
          <w:numId w:val="4"/>
        </w:numPr>
        <w:spacing w:after="80" w:line="320"/>
        <w:jc w:val="both"/>
      </w:pPr>
      <w:r>
        <w:rPr>
          <w:rFonts w:ascii="Times New Roman" w:cs="Times New Roman" w:eastAsia="Times New Roman" w:hAnsi="Times New Roman"/>
          <w:b/>
          <w:bCs/>
          <w:sz w:val="24"/>
          <w:szCs w:val="24"/>
        </w:rPr>
        <w:t xml:space="preserve">Cap marquee bids at fair value </w:t>
      </w:r>
      <w:r>
        <w:rPr>
          <w:rFonts w:ascii="Times New Roman" w:cs="Times New Roman" w:eastAsia="Times New Roman" w:hAnsi="Times New Roman"/>
          <w:sz w:val="24"/>
          <w:szCs w:val="24"/>
        </w:rPr>
        <w:t xml:space="preserve">and manage to Value Index, not to spend.</w:t>
      </w:r>
    </w:p>
    <w:p>
      <w:pPr>
        <w:pStyle w:val="Heading2"/>
        <w:keepNext/>
      </w:pPr>
      <w:r>
        <w:rPr>
          <w:rFonts w:ascii="Times New Roman" w:cs="Times New Roman" w:eastAsia="Times New Roman" w:hAnsi="Times New Roman"/>
        </w:rPr>
        <w:t xml:space="preserve">6.2 Limitations</w:t>
      </w:r>
    </w:p>
    <w:p>
      <w:pPr>
        <w:pStyle w:val="ListParagraph"/>
        <w:numPr>
          <w:ilvl w:val="0"/>
          <w:numId w:val="3"/>
        </w:numPr>
        <w:spacing w:after="80" w:line="320"/>
        <w:jc w:val="both"/>
      </w:pPr>
      <w:r>
        <w:rPr>
          <w:rFonts w:ascii="Times New Roman" w:cs="Times New Roman" w:eastAsia="Times New Roman" w:hAnsi="Times New Roman"/>
          <w:sz w:val="24"/>
          <w:szCs w:val="24"/>
        </w:rPr>
        <w:t xml:space="preserve">Retained players have no auction price and are excluded from value measures.</w:t>
      </w:r>
    </w:p>
    <w:p>
      <w:pPr>
        <w:pStyle w:val="ListParagraph"/>
        <w:numPr>
          <w:ilvl w:val="0"/>
          <w:numId w:val="3"/>
        </w:numPr>
        <w:spacing w:after="80" w:line="320"/>
        <w:jc w:val="both"/>
      </w:pPr>
      <w:r>
        <w:rPr>
          <w:rFonts w:ascii="Times New Roman" w:cs="Times New Roman" w:eastAsia="Times New Roman" w:hAnsi="Times New Roman"/>
          <w:sz w:val="24"/>
          <w:szCs w:val="24"/>
        </w:rPr>
        <w:t xml:space="preserve">Base prices exist only for 2025–26; Impact Points do not weight match situation.</w:t>
      </w:r>
    </w:p>
    <w:p>
      <w:pPr>
        <w:pStyle w:val="Heading2"/>
        <w:keepNext/>
      </w:pPr>
      <w:r>
        <w:rPr>
          <w:rFonts w:ascii="Times New Roman" w:cs="Times New Roman" w:eastAsia="Times New Roman" w:hAnsi="Times New Roman"/>
        </w:rPr>
        <w:t xml:space="preserve">6.3 Conclusion</w:t>
      </w:r>
    </w:p>
    <w:p>
      <w:pPr>
        <w:spacing w:after="140" w:line="340"/>
        <w:jc w:val="both"/>
      </w:pPr>
      <w:r>
        <w:rPr>
          <w:rFonts w:ascii="Times New Roman" w:cs="Times New Roman" w:eastAsia="Times New Roman" w:hAnsi="Times New Roman"/>
          <w:sz w:val="24"/>
          <w:szCs w:val="24"/>
        </w:rPr>
        <w:t xml:space="preserve">By linking 14 years of auction prices to ball-by-ball data and scoring every player on one Impact Points scale, we built a Value Index that compares output with spend fairly across seasons. The answer to our question is consistent: prices have doubled, the most expensive buys deliver the least per crore, and spending more does not win matches while spending well does. The Power BI dashboard and the MongoDB-backed web app turn this into a practical tool for the next auction.</w:t>
      </w:r>
    </w:p>
    <w:p>
      <w:pPr>
        <w:pStyle w:val="Heading1"/>
      </w:pPr>
      <w:r>
        <w:rPr>
          <w:rFonts w:ascii="Times New Roman" w:cs="Times New Roman" w:eastAsia="Times New Roman" w:hAnsi="Times New Roman"/>
        </w:rPr>
        <w:t xml:space="preserve">References</w:t>
      </w:r>
    </w:p>
    <w:p>
      <w:pPr>
        <w:spacing w:after="80" w:line="280"/>
        <w:ind w:left="560" w:hanging="560"/>
        <w:jc w:val="left"/>
      </w:pPr>
      <w:r>
        <w:rPr>
          <w:rFonts w:ascii="Times New Roman" w:cs="Times New Roman" w:eastAsia="Times New Roman" w:hAnsi="Times New Roman"/>
          <w:sz w:val="22"/>
          <w:szCs w:val="22"/>
        </w:rPr>
        <w:t xml:space="preserve">[1]  Cricsheet (2026). Indian Premier League ball-by-ball data (JSON) and Register. https://cricsheet.org/</w:t>
      </w:r>
    </w:p>
    <w:p>
      <w:pPr>
        <w:spacing w:after="80" w:line="280"/>
        <w:ind w:left="560" w:hanging="560"/>
        <w:jc w:val="left"/>
      </w:pPr>
      <w:r>
        <w:rPr>
          <w:rFonts w:ascii="Times New Roman" w:cs="Times New Roman" w:eastAsia="Times New Roman" w:hAnsi="Times New Roman"/>
          <w:sz w:val="22"/>
          <w:szCs w:val="22"/>
        </w:rPr>
        <w:t xml:space="preserve">[2]  sunnyyadav754 (2026). IPL Auction Dataset 2013–2026. Kaggle. https://www.kaggle.com/</w:t>
      </w:r>
    </w:p>
    <w:p>
      <w:pPr>
        <w:spacing w:after="80" w:line="280"/>
        <w:ind w:left="560" w:hanging="560"/>
        <w:jc w:val="left"/>
      </w:pPr>
      <w:r>
        <w:rPr>
          <w:rFonts w:ascii="Times New Roman" w:cs="Times New Roman" w:eastAsia="Times New Roman" w:hAnsi="Times New Roman"/>
          <w:sz w:val="22"/>
          <w:szCs w:val="22"/>
        </w:rPr>
        <w:t xml:space="preserve">[3]  kalilurrahman (2022). IPL Player Auction Dataset 2013–2022. Kaggle. https://www.kaggle.com/</w:t>
      </w:r>
    </w:p>
    <w:p>
      <w:pPr>
        <w:spacing w:after="80" w:line="280"/>
        <w:ind w:left="560" w:hanging="560"/>
        <w:jc w:val="left"/>
      </w:pPr>
      <w:r>
        <w:rPr>
          <w:rFonts w:ascii="Times New Roman" w:cs="Times New Roman" w:eastAsia="Times New Roman" w:hAnsi="Times New Roman"/>
          <w:sz w:val="22"/>
          <w:szCs w:val="22"/>
        </w:rPr>
        <w:t xml:space="preserve">[4]  Indian Premier League (2024). TATA IPL 2025 Auction List and Player Regulations 2025–27. https://www.iplt20.com/</w:t>
      </w:r>
    </w:p>
    <w:p>
      <w:pPr>
        <w:spacing w:after="80" w:line="280"/>
        <w:ind w:left="560" w:hanging="560"/>
        <w:jc w:val="left"/>
      </w:pPr>
      <w:r>
        <w:rPr>
          <w:rFonts w:ascii="Times New Roman" w:cs="Times New Roman" w:eastAsia="Times New Roman" w:hAnsi="Times New Roman"/>
          <w:sz w:val="22"/>
          <w:szCs w:val="22"/>
        </w:rPr>
        <w:t xml:space="preserve">[5]  Wisden (2025). IPL 2026 auction: full list of unsold players. https://www.wisden.com/</w:t>
      </w:r>
    </w:p>
    <w:p>
      <w:pPr>
        <w:spacing w:after="80" w:line="280"/>
        <w:ind w:left="560" w:hanging="560"/>
        <w:jc w:val="left"/>
      </w:pPr>
      <w:r>
        <w:rPr>
          <w:rFonts w:ascii="Times New Roman" w:cs="Times New Roman" w:eastAsia="Times New Roman" w:hAnsi="Times New Roman"/>
          <w:sz w:val="22"/>
          <w:szCs w:val="22"/>
        </w:rPr>
        <w:t xml:space="preserve">[6]  Kimball, R. and Ross, M. (2013). The Data Warehouse Toolkit (3rd ed.). Wiley.</w:t>
      </w:r>
    </w:p>
    <w:p>
      <w:pPr>
        <w:spacing w:after="80" w:line="280"/>
        <w:ind w:left="560" w:hanging="560"/>
        <w:jc w:val="left"/>
      </w:pPr>
      <w:r>
        <w:rPr>
          <w:rFonts w:ascii="Times New Roman" w:cs="Times New Roman" w:eastAsia="Times New Roman" w:hAnsi="Times New Roman"/>
          <w:sz w:val="22"/>
          <w:szCs w:val="22"/>
        </w:rPr>
        <w:t xml:space="preserve">[7]  Microsoft (2026). Power BI, DAX and Power Query documentation. https://learn.microsoft.com/power-bi/</w:t>
      </w:r>
    </w:p>
    <w:p>
      <w:pPr>
        <w:spacing w:after="80" w:line="280"/>
        <w:ind w:left="560" w:hanging="560"/>
        <w:jc w:val="left"/>
      </w:pPr>
      <w:r>
        <w:rPr>
          <w:rFonts w:ascii="Times New Roman" w:cs="Times New Roman" w:eastAsia="Times New Roman" w:hAnsi="Times New Roman"/>
          <w:sz w:val="22"/>
          <w:szCs w:val="22"/>
        </w:rPr>
        <w:t xml:space="preserve">[8]  MongoDB, Inc. (2026). MongoDB Atlas documentation. https://www.mongodb.com/docs/</w:t>
      </w:r>
    </w:p>
    <w:p>
      <w:pPr>
        <w:spacing w:after="80" w:line="280"/>
        <w:ind w:left="560" w:hanging="560"/>
        <w:jc w:val="left"/>
      </w:pPr>
      <w:r>
        <w:rPr>
          <w:rFonts w:ascii="Times New Roman" w:cs="Times New Roman" w:eastAsia="Times New Roman" w:hAnsi="Times New Roman"/>
          <w:sz w:val="22"/>
          <w:szCs w:val="22"/>
        </w:rPr>
        <w:t xml:space="preserve">[9]  Express, React and Vercel documentation (2026). https://expressjs.com/ · https://react.dev/ · https://vercel.com/docs</w:t>
      </w:r>
    </w:p>
    <w:p>
      <w:pPr>
        <w:spacing w:after="140" w:line="340"/>
        <w:jc w:val="left"/>
      </w:pPr>
      <w:r>
        <w:rPr>
          <w:rFonts w:ascii="Times New Roman" w:cs="Times New Roman" w:eastAsia="Times New Roman" w:hAnsi="Times New Roman"/>
          <w:sz w:val="22"/>
          <w:szCs w:val="22"/>
        </w:rPr>
        <w:t xml:space="preserve">Project repository: https://github.com/nabrahma/BDM_Project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Times New Roman" w:cs="Times New Roman" w:eastAsia="Times New Roman" w:hAnsi="Times New Roman"/>
        <w:i/>
        <w:iCs/>
        <w:color w:val="595959"/>
        <w:sz w:val="18"/>
        <w:szCs w:val="18"/>
      </w:rPr>
      <w:t xml:space="preserve">IPL Auction Valuation &amp; Player Performance Intelligence · BDM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80" w:before="120"/>
      <w:outlineLvl w:val="0"/>
    </w:pPr>
    <w:rPr>
      <w:rFonts w:ascii="Times New Roman" w:cs="Times New Roman" w:eastAsia="Times New Roman" w:hAnsi="Times New Roman"/>
      <w:b/>
      <w:bCs/>
      <w:color w:val="1A1A1A"/>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1A1A1A"/>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62ad096081b032c53bccd01f00316471db4e40cb.png"/><Relationship Id="rId11" Type="http://schemas.openxmlformats.org/officeDocument/2006/relationships/image" Target="media/ce00482431aa3550ec1980eb4a399ab83b2ddbde.png"/><Relationship Id="rId12" Type="http://schemas.openxmlformats.org/officeDocument/2006/relationships/image" Target="media/249beca1269aa2063a41949fcaf86a30ab07796a.png"/><Relationship Id="rId13" Type="http://schemas.openxmlformats.org/officeDocument/2006/relationships/image" Target="media/39a057c9c69265fd260c48a5c1fc7d94b60d5879.png"/><Relationship Id="rId14" Type="http://schemas.openxmlformats.org/officeDocument/2006/relationships/image" Target="media/cc45a8f720210f04a51486e4f6b11fd4eb952a8e.png"/><Relationship Id="rId15" Type="http://schemas.openxmlformats.org/officeDocument/2006/relationships/image" Target="media/571e9b4eb42e75f68b6d4434acfcfbaa70dca267.png"/><Relationship Id="rId16" Type="http://schemas.openxmlformats.org/officeDocument/2006/relationships/image" Target="media/90b729c62e49097d404c9eff4c733003f7670540.png"/><Relationship Id="rId17" Type="http://schemas.openxmlformats.org/officeDocument/2006/relationships/image" Target="media/cae37532ac608dfa5dfe74185824c37d45e5e59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IPL Auction Valuation and Player Performance Intelligence: BDM Project Report</dc:title>
  <dc:creator>Abhishek Kokadwar, Pratik Baviskar, Rajveer Lomate, Nabaskar Brahma</dc:creator>
  <dc:description>BDM project report, ABV-IIITM Gwalior</dc:description>
  <cp:lastModifiedBy>Un-named</cp:lastModifiedBy>
  <cp:revision>1</cp:revision>
  <dcterms:created xsi:type="dcterms:W3CDTF">2026-10-26T16:04:44.916Z</dcterms:created>
  <dcterms:modified xsi:type="dcterms:W3CDTF">2026-10-26T16:04:44.916Z</dcterms:modified>
</cp:coreProperties>
</file>

<file path=docProps/custom.xml><?xml version="1.0" encoding="utf-8"?>
<Properties xmlns="http://schemas.openxmlformats.org/officeDocument/2006/custom-properties" xmlns:vt="http://schemas.openxmlformats.org/officeDocument/2006/docPropsVTypes"/>
</file>