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992.1259842519685" w:firstLine="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Таблица по смертности по регионам: </w:t>
      </w:r>
      <w:hyperlink r:id="rId6">
        <w:r w:rsidDel="00000000" w:rsidR="00000000" w:rsidRPr="00000000">
          <w:rPr>
            <w:rFonts w:ascii="Roboto Medium" w:cs="Roboto Medium" w:eastAsia="Roboto Medium" w:hAnsi="Roboto Medium"/>
            <w:color w:val="1155cc"/>
            <w:u w:val="single"/>
            <w:rtl w:val="0"/>
          </w:rPr>
          <w:t xml:space="preserve">https://docs.google.com/spreadsheets/d/1_EWvWKu_Y1v7HzSMv4zfWxEjRFvZGBLftxCOED0WA0I/edit?gid=1165335673#gid=1165335673</w:t>
        </w:r>
      </w:hyperlink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-425.19685039370086" w:hanging="360"/>
        <w:rPr>
          <w:rFonts w:ascii="Roboto Medium" w:cs="Roboto Medium" w:eastAsia="Roboto Medium" w:hAnsi="Roboto Medium"/>
          <w:u w:val="none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Выраженная региональная дифференциация.</w:t>
      </w:r>
    </w:p>
    <w:p w:rsidR="00000000" w:rsidDel="00000000" w:rsidP="00000000" w:rsidRDefault="00000000" w:rsidRPr="00000000" w14:paraId="00000003">
      <w:pPr>
        <w:ind w:left="-425.19685039370086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Показатель смертности детей 0-14 лет (total_death_rate_per100k) от злокачественных новообразований варьируется от 0 до 6,15 на 100 тыс. детского населения в регионе. При распределении регионов по 33-му и 67-му перцентилям выделяются 3 группы: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0" w:hanging="360"/>
        <w:rPr>
          <w:rFonts w:ascii="Roboto Medium" w:cs="Roboto Medium" w:eastAsia="Roboto Medium" w:hAnsi="Roboto Medium"/>
          <w:u w:val="none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низкий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(28 регионов)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0" w:hanging="360"/>
        <w:rPr>
          <w:rFonts w:ascii="Roboto Medium" w:cs="Roboto Medium" w:eastAsia="Roboto Medium" w:hAnsi="Roboto Medium"/>
          <w:u w:val="none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средний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(29 регионов)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0" w:hanging="360"/>
        <w:rPr>
          <w:rFonts w:ascii="Roboto Medium" w:cs="Roboto Medium" w:eastAsia="Roboto Medium" w:hAnsi="Roboto Medium"/>
          <w:u w:val="none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высокий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(28 регионов).</w:t>
      </w:r>
    </w:p>
    <w:p w:rsidR="00000000" w:rsidDel="00000000" w:rsidP="00000000" w:rsidRDefault="00000000" w:rsidRPr="00000000" w14:paraId="00000007">
      <w:pPr>
        <w:ind w:left="-425.19685039370074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Наибольшая доля регионов с высоким уровнем смертности сконцентрирована в Центральном и Сибирском федеральных округах.</w:t>
      </w:r>
    </w:p>
    <w:p w:rsidR="00000000" w:rsidDel="00000000" w:rsidP="00000000" w:rsidRDefault="00000000" w:rsidRPr="00000000" w14:paraId="00000008">
      <w:pPr>
        <w:ind w:left="-425.19685039370074" w:firstLine="0"/>
        <w:rPr>
          <w:rFonts w:ascii="Roboto" w:cs="Roboto" w:eastAsia="Roboto" w:hAnsi="Roboto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https://www.datawrapper.de/_/8VXzD/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p w:rsidR="00000000" w:rsidDel="00000000" w:rsidP="00000000" w:rsidRDefault="00000000" w:rsidRPr="00000000" w14:paraId="00000009">
      <w:pPr>
        <w:ind w:left="-425.19685039370074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4198564" cy="3499862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564" cy="3499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425.19685039370074" w:firstLine="0"/>
        <w:rPr>
          <w:rFonts w:ascii="Roboto Medium" w:cs="Roboto Medium" w:eastAsia="Roboto Medium" w:hAnsi="Robo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-425.19685039370074" w:hanging="360"/>
        <w:rPr>
          <w:rFonts w:ascii="Roboto Medium" w:cs="Roboto Medium" w:eastAsia="Roboto Medium" w:hAnsi="Roboto Medium"/>
          <w:u w:val="none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Антилидеры: </w:t>
      </w:r>
    </w:p>
    <w:p w:rsidR="00000000" w:rsidDel="00000000" w:rsidP="00000000" w:rsidRDefault="00000000" w:rsidRPr="00000000" w14:paraId="0000000C">
      <w:pPr>
        <w:ind w:left="-425.19685039370074" w:firstLine="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</w:rPr>
        <w:drawing>
          <wp:inline distB="114300" distT="114300" distL="114300" distR="114300">
            <wp:extent cx="2291127" cy="2046932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1127" cy="2046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992.1259842519686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Таблица по распределению по виду и возрастным группам:</w:t>
      </w:r>
    </w:p>
    <w:p w:rsidR="00000000" w:rsidDel="00000000" w:rsidP="00000000" w:rsidRDefault="00000000" w:rsidRPr="00000000" w14:paraId="0000000E">
      <w:pPr>
        <w:ind w:left="-992.1259842519686" w:firstLine="0"/>
        <w:rPr>
          <w:rFonts w:ascii="Roboto Medium" w:cs="Roboto Medium" w:eastAsia="Roboto Medium" w:hAnsi="Roboto Medium"/>
        </w:rPr>
      </w:pPr>
      <w:hyperlink r:id="rId10">
        <w:r w:rsidDel="00000000" w:rsidR="00000000" w:rsidRPr="00000000">
          <w:rPr>
            <w:rFonts w:ascii="Roboto Medium" w:cs="Roboto Medium" w:eastAsia="Roboto Medium" w:hAnsi="Roboto Medium"/>
            <w:color w:val="1155cc"/>
            <w:u w:val="single"/>
            <w:rtl w:val="0"/>
          </w:rPr>
          <w:t xml:space="preserve">https://docs.google.com/spreadsheets/d/1_EWvWKu_Y1v7HzSMv4zfWxEjRFvZGBLftxCOED0WA0I/edit?gid=861943209#gid=861943209</w:t>
        </w:r>
      </w:hyperlink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-425.19685039370074" w:hanging="360"/>
        <w:rPr>
          <w:rFonts w:ascii="Roboto Medium" w:cs="Roboto Medium" w:eastAsia="Roboto Medium" w:hAnsi="Roboto Medium"/>
          <w:u w:val="none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Выраженная возрастная специфичность: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 возрасте 0-4 года доминируют острый лимфолейкоз (5,31), опухоли почки (1,93) и головного мозга;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 группе 5-9 лет лидирует острый лимфолейкоз (3,10), за ним следуют опухоли головного мозга (1,81) и неходжкинская лимфома (0,95).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 возрасте 10-14 лет наиболее высокие показатели у острого лимфолейкоза(1,81) и опухолей головного мозга (1,25).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-425.19685039370074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Анализ выбросов, которые выделены по 95-му процентилю для каждой возрастной группы. Они представляют локализации с аномально высокой заболеваемостью.</w:t>
      </w:r>
    </w:p>
    <w:p w:rsidR="00000000" w:rsidDel="00000000" w:rsidP="00000000" w:rsidRDefault="00000000" w:rsidRPr="00000000" w14:paraId="00000014">
      <w:pPr>
        <w:ind w:left="-425.19685039370074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Выбросы 0-4 года:</w:t>
      </w:r>
    </w:p>
    <w:p w:rsidR="00000000" w:rsidDel="00000000" w:rsidP="00000000" w:rsidRDefault="00000000" w:rsidRPr="00000000" w14:paraId="00000015">
      <w:pPr>
        <w:ind w:left="-425.19685039370074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2911111" cy="972924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1111" cy="972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425.19685039370074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Выбросы 5-9 лет:</w:t>
      </w:r>
    </w:p>
    <w:p w:rsidR="00000000" w:rsidDel="00000000" w:rsidP="00000000" w:rsidRDefault="00000000" w:rsidRPr="00000000" w14:paraId="00000017">
      <w:pPr>
        <w:ind w:left="-425.19685039370074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2860675" cy="1278979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0675" cy="1278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425.19685039370074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Выбросы 10-14 лет:</w:t>
      </w:r>
    </w:p>
    <w:p w:rsidR="00000000" w:rsidDel="00000000" w:rsidP="00000000" w:rsidRDefault="00000000" w:rsidRPr="00000000" w14:paraId="00000019">
      <w:pPr>
        <w:ind w:left="-425.19685039370074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2886075" cy="774683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774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425.19685039370074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425.19685039370074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 данным сводным таблицам видно, что в структуре детской онкологической заболеваемости в России в 2022 году выделяются две универсальные группы высокого риска (острый лимфолейкоз и опухоль головного мозга) и несколько возрастоспецифичных локализаций (опухоль почки и неходжкинская лимфома).</w:t>
      </w:r>
    </w:p>
    <w:p w:rsidR="00000000" w:rsidDel="00000000" w:rsidP="00000000" w:rsidRDefault="00000000" w:rsidRPr="00000000" w14:paraId="0000001C">
      <w:pPr>
        <w:ind w:left="-425.19685039370074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-425.19685039370074" w:hanging="360"/>
        <w:rPr>
          <w:rFonts w:ascii="Roboto" w:cs="Roboto" w:eastAsia="Roboto" w:hAnsi="Roboto"/>
        </w:rPr>
      </w:pPr>
      <w:hyperlink r:id="rId14">
        <w:r w:rsidDel="00000000" w:rsidR="00000000" w:rsidRPr="00000000">
          <w:rPr>
            <w:rFonts w:ascii="Roboto Medium" w:cs="Roboto Medium" w:eastAsia="Roboto Medium" w:hAnsi="Roboto Medium"/>
            <w:color w:val="1155cc"/>
            <w:u w:val="single"/>
            <w:rtl w:val="0"/>
          </w:rPr>
          <w:t xml:space="preserve">https://www.datawrapper.de/_/qLntK/</w:t>
        </w:r>
      </w:hyperlink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425.19685039370074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3900488" cy="27852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2785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 возрасте 0-4 года три локализации (острый лимфолейкоз, опухоли почки и головного мозга) суммарно составляют 54% всей заболеваемости. Особенно выражено доминирование острого лимфолейкоза.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 группе 5-9 лет острый лимфолейкоз и опухоли головного мозга остаются ведущими и к ним добавляется неходжкинская лимфома (суммарно эти 3 локализации составляют 62% всей заболеваемости).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 возрастной группе 10-14 лет доля острого лимфолейкоза снижается до 20%, но все еще остается самой частой локализацией. 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992.1259842519685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Таблица по числу впервые выявленных онкозаболеваний по виду полу:</w:t>
      </w:r>
    </w:p>
    <w:p w:rsidR="00000000" w:rsidDel="00000000" w:rsidP="00000000" w:rsidRDefault="00000000" w:rsidRPr="00000000" w14:paraId="00000024">
      <w:pPr>
        <w:ind w:left="-992.1259842519685" w:firstLine="0"/>
        <w:rPr>
          <w:rFonts w:ascii="Roboto" w:cs="Roboto" w:eastAsia="Roboto" w:hAnsi="Roboto"/>
          <w:b w:val="1"/>
          <w:bCs w:val="1"/>
        </w:rPr>
      </w:pPr>
      <w:hyperlink r:id="rId16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u w:val="single"/>
            <w:rtl w:val="0"/>
          </w:rPr>
          <w:t xml:space="preserve">https://www.datawrapper.de/_/k6jAY/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-425.19685039370086" w:hanging="360"/>
        <w:rPr>
          <w:rFonts w:ascii="Roboto Medium" w:cs="Roboto Medium" w:eastAsia="Roboto Medium" w:hAnsi="Roboto Medium"/>
          <w:u w:val="none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Локализации с наиболее высокими показателями у обоих полов:</w:t>
      </w:r>
    </w:p>
    <w:p w:rsidR="00000000" w:rsidDel="00000000" w:rsidP="00000000" w:rsidRDefault="00000000" w:rsidRPr="00000000" w14:paraId="00000026">
      <w:pPr>
        <w:ind w:left="-425.19685039370086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Острый лимфолейкоз лидер у мальчиков (3,69) и девочек (2,93) и опухоли головного мозга — на втором месте и у мальчиков (1,79), и у девочек (1,73).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-425.19685039370074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Половые различия: 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Неходжкинской лимфомой в 2,6 раза (см. показатель rate_ratio)  чаще выявляют у мальчиков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Также чаще у мальчиков выявляют Лимфому Ходжкина, другие лимфоидные и миелоидные лейкозы.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Щитовидная железа — типично женская опухоль, у девочек показатель в 2,7 раз выше.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-425.19685039370074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Сводная таблица по топ-10 распространенных локализаций по полу:</w:t>
      </w:r>
    </w:p>
    <w:p w:rsidR="00000000" w:rsidDel="00000000" w:rsidP="00000000" w:rsidRDefault="00000000" w:rsidRPr="00000000" w14:paraId="0000002C">
      <w:pPr>
        <w:ind w:left="-425.19685039370074" w:firstLine="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Мальчики:</w:t>
      </w:r>
    </w:p>
    <w:p w:rsidR="00000000" w:rsidDel="00000000" w:rsidP="00000000" w:rsidRDefault="00000000" w:rsidRPr="00000000" w14:paraId="0000002D">
      <w:pPr>
        <w:ind w:left="-425.19685039370074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3216275" cy="222764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6275" cy="2227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425.19685039370074" w:firstLine="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Девочки: </w:t>
      </w:r>
    </w:p>
    <w:p w:rsidR="00000000" w:rsidDel="00000000" w:rsidP="00000000" w:rsidRDefault="00000000" w:rsidRPr="00000000" w14:paraId="0000002F">
      <w:pPr>
        <w:ind w:left="-425.19685039370074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3296477" cy="218226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6477" cy="2182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425.19685039370074" w:firstLine="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Общие выводы: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Острый лейкоз — самая частая локализация у обоих полов.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Практически равная заболеваемость опухолей головного мозга и других отделов ЦНС.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ind w:left="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Практически одинаковая заболеваемость опухолей соединительной тканей, костей и суставных хрящей и острого миелолейкоза.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Опухоли щитовидной железы и яичника — характерны для девочек; опухоли глаза и его придаточного аппарата и печени несколько чаще встречаются у мальчиков.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ind w:left="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-425.19685039370074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Круговые диаграммы по структуре детской онкологической заболеваемости по полу:</w:t>
      </w:r>
    </w:p>
    <w:p w:rsidR="00000000" w:rsidDel="00000000" w:rsidP="00000000" w:rsidRDefault="00000000" w:rsidRPr="00000000" w14:paraId="00000037">
      <w:pPr>
        <w:ind w:left="-425.19685039370074" w:firstLine="0"/>
        <w:rPr>
          <w:rFonts w:ascii="Roboto Medium" w:cs="Roboto Medium" w:eastAsia="Roboto Medium" w:hAnsi="Roboto Medium"/>
        </w:rPr>
      </w:pPr>
      <w:hyperlink r:id="rId19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https://www.datawrapper.de/_/k6jAY/?v=4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425.19685039370074" w:firstLine="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</w:rPr>
        <w:drawing>
          <wp:inline distB="114300" distT="114300" distL="114300" distR="114300">
            <wp:extent cx="3581472" cy="310466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72" cy="3104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425.19685039370074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Структура заболеваемости у мальчиков и девочек в целом схожа, однако наблюдаются половые различия в частоте отдельных локализаций: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Острый лимфолейкоз (мальчики — 33%, девочки — 30%) и опухоли ЦНС (мальчики — 16%, девочки — 18%) лидируют у обоих полов.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Неходжкинская лимфома более характерна для мальчиков (11%).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Опухоли почки (8%) и соединительных и других мягких тканей (7%) чаще выявлялись у девочек.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992.1259842519686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Таблица по числу впервые выявленных онкозаболеваний по регионам:</w:t>
      </w:r>
    </w:p>
    <w:p w:rsidR="00000000" w:rsidDel="00000000" w:rsidP="00000000" w:rsidRDefault="00000000" w:rsidRPr="00000000" w14:paraId="0000003F">
      <w:pPr>
        <w:ind w:left="-992.1259842519686" w:firstLine="0"/>
        <w:rPr>
          <w:rFonts w:ascii="Roboto" w:cs="Roboto" w:eastAsia="Roboto" w:hAnsi="Roboto"/>
          <w:b w:val="1"/>
          <w:bCs w:val="1"/>
        </w:rPr>
      </w:pPr>
      <w:hyperlink r:id="rId21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u w:val="single"/>
            <w:rtl w:val="0"/>
          </w:rPr>
          <w:t xml:space="preserve">https://docs.google.com/spreadsheets/d/1_EWvWKu_Y1v7HzSMv4zfWxEjRFvZGBLftxCOED0WA0I/edit?gid=1550575261#gid=1550575261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-425.19685039370074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Антилидеры:</w:t>
      </w:r>
    </w:p>
    <w:p w:rsidR="00000000" w:rsidDel="00000000" w:rsidP="00000000" w:rsidRDefault="00000000" w:rsidRPr="00000000" w14:paraId="00000041">
      <w:pPr>
        <w:ind w:left="-425.19685039370074" w:firstLine="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</w:rPr>
        <w:drawing>
          <wp:inline distB="114300" distT="114300" distL="114300" distR="114300">
            <wp:extent cx="3676650" cy="313372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425.19685039370074" w:firstLine="0"/>
        <w:rPr>
          <w:rFonts w:ascii="Roboto Medium" w:cs="Roboto Medium" w:eastAsia="Roboto Medium" w:hAnsi="Robo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425.19685039370074" w:firstLine="0"/>
        <w:rPr>
          <w:rFonts w:ascii="Roboto Medium" w:cs="Roboto Medium" w:eastAsia="Roboto Medium" w:hAnsi="Robo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425.19685039370074" w:firstLine="0"/>
        <w:rPr>
          <w:rFonts w:ascii="Roboto Medium" w:cs="Roboto Medium" w:eastAsia="Roboto Medium" w:hAnsi="Robo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425.19685039370074" w:firstLine="0"/>
        <w:rPr>
          <w:rFonts w:ascii="Roboto Medium" w:cs="Roboto Medium" w:eastAsia="Roboto Medium" w:hAnsi="Robo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425.19685039370074" w:firstLine="0"/>
        <w:rPr>
          <w:rFonts w:ascii="Roboto Medium" w:cs="Roboto Medium" w:eastAsia="Roboto Medium" w:hAnsi="Robo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425.19685039370074" w:firstLine="0"/>
        <w:rPr>
          <w:rFonts w:ascii="Roboto Medium" w:cs="Roboto Medium" w:eastAsia="Roboto Medium" w:hAnsi="Robo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-425.19685039370074" w:hanging="360"/>
        <w:rPr>
          <w:rFonts w:ascii="Roboto Medium" w:cs="Roboto Medium" w:eastAsia="Roboto Medium" w:hAnsi="Roboto Medium"/>
          <w:u w:val="none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Общая региональная дифференциация.</w:t>
      </w:r>
    </w:p>
    <w:p w:rsidR="00000000" w:rsidDel="00000000" w:rsidP="00000000" w:rsidRDefault="00000000" w:rsidRPr="00000000" w14:paraId="00000049">
      <w:pPr>
        <w:ind w:left="-425.19685039370074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Показатель total_per_100k (общая заболеваемость на 100 тыс. детей 0-14 лет) варьирует от 0 до 29,88 (Псковская область). Распределение регионов по группам риска (расчеты сделаны по 33-му и 67-му процентилям) показывает, что: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Высокий риск — 28 регионов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Средний риск — 29 регионов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Низкий риск — 28 регионов </w:t>
      </w:r>
    </w:p>
    <w:p w:rsidR="00000000" w:rsidDel="00000000" w:rsidP="00000000" w:rsidRDefault="00000000" w:rsidRPr="00000000" w14:paraId="0000004D">
      <w:pPr>
        <w:ind w:left="-425.19685039370074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Наибольшая доля регионов с высоким уровнем заболеваемости сконцентрирована в Северо-Западном, Приволжском и Уральском федеральных округах.</w:t>
      </w:r>
    </w:p>
    <w:p w:rsidR="00000000" w:rsidDel="00000000" w:rsidP="00000000" w:rsidRDefault="00000000" w:rsidRPr="00000000" w14:paraId="0000004E">
      <w:pPr>
        <w:ind w:left="-992.1259842519686" w:firstLine="0"/>
        <w:rPr>
          <w:rFonts w:ascii="Roboto" w:cs="Roboto" w:eastAsia="Roboto" w:hAnsi="Roboto"/>
          <w:b w:val="1"/>
          <w:bCs w:val="1"/>
        </w:rPr>
      </w:pPr>
      <w:hyperlink r:id="rId23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u w:val="single"/>
            <w:rtl w:val="0"/>
          </w:rPr>
          <w:t xml:space="preserve">https://www.datawrapper.de/_/FgwN8/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F">
      <w:pPr>
        <w:ind w:left="-992.1259842519686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</w:rPr>
        <w:drawing>
          <wp:inline distB="114300" distT="114300" distL="114300" distR="114300">
            <wp:extent cx="4937125" cy="4065291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7125" cy="4065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260.78740157480524" w:top="283.46456692913387" w:left="1440" w:right="548.7401574803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6.png"/><Relationship Id="rId22" Type="http://schemas.openxmlformats.org/officeDocument/2006/relationships/image" Target="media/image2.png"/><Relationship Id="rId10" Type="http://schemas.openxmlformats.org/officeDocument/2006/relationships/hyperlink" Target="https://docs.google.com/spreadsheets/d/1_EWvWKu_Y1v7HzSMv4zfWxEjRFvZGBLftxCOED0WA0I/edit?gid=861943209#gid=861943209" TargetMode="External"/><Relationship Id="rId21" Type="http://schemas.openxmlformats.org/officeDocument/2006/relationships/hyperlink" Target="https://docs.google.com/spreadsheets/d/1_EWvWKu_Y1v7HzSMv4zfWxEjRFvZGBLftxCOED0WA0I/edit?gid=1550575261#gid=1550575261" TargetMode="External"/><Relationship Id="rId13" Type="http://schemas.openxmlformats.org/officeDocument/2006/relationships/image" Target="media/image5.png"/><Relationship Id="rId24" Type="http://schemas.openxmlformats.org/officeDocument/2006/relationships/image" Target="media/image3.png"/><Relationship Id="rId12" Type="http://schemas.openxmlformats.org/officeDocument/2006/relationships/image" Target="media/image9.png"/><Relationship Id="rId23" Type="http://schemas.openxmlformats.org/officeDocument/2006/relationships/hyperlink" Target="https://www.datawrapper.de/_/FgwN8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.png"/><Relationship Id="rId14" Type="http://schemas.openxmlformats.org/officeDocument/2006/relationships/hyperlink" Target="https://www.datawrapper.de/_/qLntK/" TargetMode="External"/><Relationship Id="rId17" Type="http://schemas.openxmlformats.org/officeDocument/2006/relationships/image" Target="media/image11.png"/><Relationship Id="rId16" Type="http://schemas.openxmlformats.org/officeDocument/2006/relationships/hyperlink" Target="https://www.datawrapper.de/_/k6jAY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datawrapper.de/_/k6jAY/?v=4" TargetMode="External"/><Relationship Id="rId6" Type="http://schemas.openxmlformats.org/officeDocument/2006/relationships/hyperlink" Target="https://docs.google.com/spreadsheets/d/1_EWvWKu_Y1v7HzSMv4zfWxEjRFvZGBLftxCOED0WA0I/edit?gid=1165335673#gid=1165335673" TargetMode="External"/><Relationship Id="rId18" Type="http://schemas.openxmlformats.org/officeDocument/2006/relationships/image" Target="media/image4.png"/><Relationship Id="rId7" Type="http://schemas.openxmlformats.org/officeDocument/2006/relationships/hyperlink" Target="https://www.datawrapper.de/_/8VXzD/" TargetMode="External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